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Preservation and Service Continuity Policy</w:t>
      </w:r>
    </w:p>
    <w:p>
      <w:pPr>
        <w:spacing w:after="240"/>
      </w:pPr>
      <w:r>
        <w:rPr>
          <w:sz w:val="19"/>
        </w:rPr>
        <w:t>Draft for rector review | Version 0.1 | Prepared 3 October 2026</w:t>
      </w:r>
    </w:p>
    <w:p>
      <w:r>
        <w:t>This policy sets a practicable basis for retaining accepted research outputs, checking their integrity and planning for service changes. It requires documented operating arrangements and distinguishes an intended preservation service from a demonstrated capability. It does not create an indefinite retention guarantee or a certification claim.</w:t>
      </w:r>
    </w:p>
    <w:p>
      <w:pPr>
        <w:pStyle w:val="Heading1"/>
      </w:pPr>
      <w:r>
        <w:t>Approval and ownership</w:t>
      </w:r>
    </w:p>
    <w:p>
      <w:r>
        <w:t>Approving authority: [confirm authority and approval reference]. Service owner: [repository office]. Technical owner: [administration team]. Public contact: [role mailbox]. Effective date: [after approval]. Next review: [approved date]. UIST shall confirm the service funding, retention schedule and minimum operational capacity before publishing preservation commitments.</w:t>
      </w:r>
    </w:p>
    <w:p>
      <w:pPr>
        <w:pStyle w:val="Heading1"/>
      </w:pPr>
      <w:r>
        <w:t>Preservation scope</w:t>
      </w:r>
    </w:p>
    <w:p>
      <w:r>
        <w:t>The proposed initial scope is retention of accepted files, descriptive metadata, identifiers and necessary provenance within the University's approved storage and backup arrangements. The repository shall preserve original deposited files where lawful and feasible. Access copies or converted formats shall be distinguishable from originals. The service shall disclose significant known limitations, including formats dependent on unavailable software, encryption or external resources.</w:t>
      </w:r>
    </w:p>
    <w:p>
      <w:r>
        <w:t>Backup, replication and metadata export contribute to preservation but do not establish that every file will remain usable indefinitely. The repository shall describe only implemented measures and shall not claim a trusted repository certificate or audit result without evidence.</w:t>
      </w:r>
    </w:p>
    <w:p>
      <w:pPr>
        <w:pStyle w:val="Heading1"/>
      </w:pPr>
      <w:r>
        <w:t>File formats and documentation</w:t>
      </w:r>
    </w:p>
    <w:p>
      <w:r>
        <w:t>Depositors should provide well documented, widely usable formats appropriate to the discipline, together with sufficient documentation and, when relevant, software dependencies or source code. The repository owner shall publish a maintained format guide distinguishing preferred formats, accepted formats with limitations and formats requiring individual review. The guide shall not imply that a format is guaranteed future support.</w:t>
      </w:r>
    </w:p>
    <w:p>
      <w:r>
        <w:t>Where practical, the repository may retain both an original and a more accessible preservation copy. Format conversion shall be authorised under the deposit agreement, recorded with the method and date, and checked for loss or material alteration. Conversion shall not change the scientific meaning of the deposited material without a documented version and depositor involvement.</w:t>
      </w:r>
    </w:p>
    <w:p>
      <w:pPr>
        <w:pStyle w:val="Heading1"/>
      </w:pPr>
      <w:r>
        <w:t>Integrity storage and backups</w:t>
      </w:r>
    </w:p>
    <w:p>
      <w:r>
        <w:t>At ingest, the technical workflow should record checksums and retain them with file and provenance information. Scheduled fixity checks shall compare stored files with the recorded checksums and log failures. UIST shall confirm the algorithm, checking frequency, coverage and responsible operator in the operating procedure before these checks are described publicly as active.</w:t>
      </w:r>
    </w:p>
    <w:p>
      <w:r>
        <w:t>The technical owner shall maintain backups of the asset store, database, essential configuration and identifier service information. Backup arrangements shall address separation from the primary system, restricted access, encryption where appropriate and recovery after deletion, corruption or loss. The backup and restore schedules, recovery objectives and evidence of restore tests shall be documented in the approved operating procedure. Exact infrastructure and secrets need not be published.</w:t>
      </w:r>
    </w:p>
    <w:p>
      <w:r>
        <w:t>An integrity or storage incident shall be investigated, affected access restricted if necessary, and recovery attempted using verified copies. Material losses or limitations shall be reported to the service owner and affected depositors where appropriate. A reconstructed or replaced file shall carry a provenance record.</w:t>
      </w:r>
    </w:p>
    <w:p>
      <w:pPr>
        <w:pStyle w:val="Heading1"/>
      </w:pPr>
      <w:r>
        <w:t>Retention and review</w:t>
      </w:r>
    </w:p>
    <w:p>
      <w:r>
        <w:t>The repository shall retain accepted outputs according to the retention schedule approved by UIST, applicable legal and ethical duties, funding conditions and any accepted deposit agreement. There is no proposed automatic ten-year or perpetual retention promise in this draft. The University shall select and fund a retention commitment before adoption, including the treatment of restricted files, records, audit logs and backups.</w:t>
      </w:r>
    </w:p>
    <w:p>
      <w:r>
        <w:t>Preservation review shall consider format risks, missing dependencies, damaged files, changed legal restrictions and storage capacity. Disposal shall be authorised, recorded and coordinated with backup expiry. Public identifiers and non-sensitive metadata should be maintained as withdrawal notices where lawful, even when a file can no longer be provided.</w:t>
      </w:r>
    </w:p>
    <w:p>
      <w:pPr>
        <w:pStyle w:val="Heading1"/>
      </w:pPr>
      <w:r>
        <w:t>Identifier and hosting continuity</w:t>
      </w:r>
    </w:p>
    <w:p>
      <w:r>
        <w:t>The technical owner shall document who maintains Handle configuration, keys, target URLs and provider obligations. A hosting change shall include tests of record URLs, identifier resolution, interfaces and access controls. Restricted files shall remain protected during migration; a new location shall not alter their access or reuse conditions.</w:t>
      </w:r>
    </w:p>
    <w:p>
      <w:r>
        <w:t>Existing local URLs and registered identifiers shall be preserved or redirected under a documented migration plan. The University shall avoid reassigning an identifier to an unrelated output and shall maintain an informative record for withdrawn outputs where permitted.</w:t>
      </w:r>
    </w:p>
    <w:p>
      <w:pPr>
        <w:pStyle w:val="Heading1"/>
      </w:pPr>
      <w:r>
        <w:t>Service cessation</w:t>
      </w:r>
    </w:p>
    <w:p>
      <w:r>
        <w:t>If UIST plans to close or materially reduce the repository, the service owner shall seek an authorised successor arrangement and assess transfers of files, metadata and identifier responsibilities. A transfer shall respect deposit permissions, personal data duties, licences and access restrictions. A receiving service shall agree responsibility before UIST describes a transfer as assured.</w:t>
      </w:r>
    </w:p>
    <w:p>
      <w:r>
        <w:t>Where no successor is available, UIST shall give reasonable notice when practicable, offer depositors a means to retrieve their material subject to rights and security controls, and decide the lawful treatment of records, identifiers and residual backups. The closure record shall identify the decision, notice given, available export arrangements and responsibilities that continue. No successor repository is designated by this draft.</w:t>
      </w:r>
    </w:p>
    <w:p>
      <w:pPr>
        <w:pStyle w:val="Heading1"/>
      </w:pPr>
      <w:r>
        <w:t>Decisions requested from the approving authority</w:t>
      </w:r>
    </w:p>
    <w:p>
      <w:r>
        <w:t>Approve the initial preservation scope and funded retention schedule. Confirm storage and backup ownership, fixity and restore procedures, incident escalation and review frequency. Assign responsibility for continuity planning and Handle obligations. Public preservation statements shall be completed from verified operational facts before publication.</w:t>
      </w:r>
    </w:p>
    <w:p>
      <w:pPr>
        <w:pStyle w:val="Heading1"/>
      </w:pPr>
      <w:r>
        <w:t>Drafting basis</w:t>
      </w:r>
    </w:p>
    <w:p>
      <w:r>
        <w:t>SWISSUbase and regional repository policies provide useful examples of preservation, format guidance and withdrawal records. Their service maturity, funding and retention arrangements are not transferred to UIST. The checklist supplied with this package identifies which measures require configuration, administrator evidence or institutional commitment.</w:t>
      </w:r>
    </w:p>
    <w:p>
      <w:pPr>
        <w:spacing w:after="100"/>
      </w:pPr>
      <w:r>
        <w:rPr>
          <w:sz w:val="18"/>
        </w:rPr>
      </w:r>
      <w:hyperlink r:id="rId10">
        <w:r>
          <w:rPr>
            <w:color w:val="1A4A72"/>
            <w:u w:val="single"/>
          </w:rPr>
          <w:t>SWISSUbase Digital Preservation Policy</w:t>
        </w:r>
      </w:hyperlink>
      <w:r>
        <w:rPr>
          <w:sz w:val="18"/>
        </w:rPr>
      </w:r>
    </w:p>
    <w:p>
      <w:pPr>
        <w:spacing w:after="100"/>
      </w:pPr>
      <w:r>
        <w:rPr>
          <w:sz w:val="18"/>
        </w:rPr>
      </w:r>
      <w:hyperlink r:id="rId11">
        <w:r>
          <w:rPr>
            <w:color w:val="1A4A72"/>
            <w:u w:val="single"/>
          </w:rPr>
          <w:t>SWISSUbase Backup Policy effective 24 June 2026</w:t>
        </w:r>
      </w:hyperlink>
      <w:r>
        <w:rPr>
          <w:sz w:val="18"/>
        </w:rPr>
      </w:r>
    </w:p>
    <w:p>
      <w:pPr>
        <w:spacing w:after="100"/>
      </w:pPr>
      <w:r>
        <w:rPr>
          <w:sz w:val="18"/>
        </w:rPr>
      </w:r>
      <w:hyperlink r:id="rId12">
        <w:r>
          <w:rPr>
            <w:color w:val="1A4A72"/>
            <w:u w:val="single"/>
          </w:rPr>
          <w:t>SWISSUbase security and operational limitations</w:t>
        </w:r>
      </w:hyperlink>
      <w:r>
        <w:rPr>
          <w:sz w:val="18"/>
        </w:rPr>
      </w:r>
    </w:p>
    <w:p>
      <w:pPr>
        <w:spacing w:after="100"/>
      </w:pPr>
      <w:r>
        <w:rPr>
          <w:sz w:val="18"/>
        </w:rPr>
      </w:r>
      <w:hyperlink r:id="rId13">
        <w:r>
          <w:rPr>
            <w:color w:val="1A4A72"/>
            <w:u w:val="single"/>
          </w:rPr>
          <w:t>DABAR repository policies</w:t>
        </w:r>
      </w:hyperlink>
      <w:r>
        <w:rPr>
          <w:sz w:val="18"/>
        </w:rPr>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UIST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fo.swissubase.ch/resources/?sr=2535" TargetMode="External"/><Relationship Id="rId11" Type="http://schemas.openxmlformats.org/officeDocument/2006/relationships/hyperlink" Target="https://info.swissubase.ch/resources/?sr=6559" TargetMode="External"/><Relationship Id="rId12" Type="http://schemas.openxmlformats.org/officeDocument/2006/relationships/hyperlink" Target="https://info.swissubase.ch/resources/?sr=2367" TargetMode="External"/><Relationship Id="rId13" Type="http://schemas.openxmlformats.org/officeDocument/2006/relationships/hyperlink" Target="https://dabar.srce.hr/en/repository-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Preservation and Service Continuity Policy</dc:title>
  <dc:subject>UIST repository policies and registry readiness</dc:subject>
  <dc:creator>UIST Digital Repository development team</dc:creator>
  <cp:keywords>Draft; rector review; UIST; re3data; FAIRsharing</cp:keywords>
  <dc:description>generated by python-docx</dc:description>
  <cp:lastModifiedBy/>
  <cp:revision>1</cp:revision>
  <dcterms:created xsi:type="dcterms:W3CDTF">2026-10-03T10:00:00Z</dcterms:created>
  <dcterms:modified xsi:type="dcterms:W3CDTF">2013-12-23T23:15:00Z</dcterms:modified>
  <cp:category/>
</cp:coreProperties>
</file>