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UIST Repository Privacy Takedown and Appeals Policy</w:t>
      </w:r>
    </w:p>
    <w:p>
      <w:pPr>
        <w:spacing w:after="240"/>
      </w:pPr>
      <w:r>
        <w:rPr>
          <w:sz w:val="19"/>
        </w:rPr>
        <w:t>Draft for rector review | Version 0.1 | Prepared 3 October 2026</w:t>
      </w:r>
    </w:p>
    <w:p>
      <w:r>
        <w:t>This policy explains how UIST will handle personal information in repository operation and respond to concerns about privacy, copyright, confidentiality and unlawful disclosure. It combines a proposed public notice with a complaint procedure. UIST's competent legal and personal data officers must confirm the processing details before adoption and publication.</w:t>
      </w:r>
    </w:p>
    <w:p>
      <w:pPr>
        <w:pStyle w:val="Heading1"/>
      </w:pPr>
      <w:r>
        <w:t>Approval and contacts</w:t>
      </w:r>
    </w:p>
    <w:p>
      <w:r>
        <w:t>Approving authority: [confirm authority and approval reference]. Controller: [confirm UIST legal identity and postal address]. Repository contact: [role mailbox]. Personal data protection contact: [designated officer and contact]. Effective date: [after approval]. Next review: [approved date]. The supervisory authority is the Agency for Personal Data Protection of North Macedonia; its current contact and complaints procedure should be linked from the adopted notice.</w:t>
      </w:r>
    </w:p>
    <w:p>
      <w:pPr>
        <w:pStyle w:val="Heading1"/>
      </w:pPr>
      <w:r>
        <w:t>Applicable framework</w:t>
      </w:r>
    </w:p>
    <w:p>
      <w:r>
        <w:t>Repository personal data processing shall comply with the Law on Personal Data Protection of North Macedonia and applicable amendments, together with other applicable obligations. The competent officer shall confirm the legal basis, retention periods, recipients and transfer arrangements for each processing activity. A comparator's Swiss law, an EU university's notice or a generic software template shall not determine UIST's applicable law. Additional foreign-law obligations shall be assessed where the actual processing creates them.</w:t>
      </w:r>
    </w:p>
    <w:p>
      <w:pPr>
        <w:pStyle w:val="Heading1"/>
      </w:pPr>
      <w:r>
        <w:t>Personal information processed</w:t>
      </w:r>
    </w:p>
    <w:p>
      <w:r>
        <w:t>Public records may include creators' names, affiliations, identifiers, contributions and research acknowledgements. Depositor accounts may include identity and contact details and the records needed to manage submissions. Repository operation may involve security and access logs, authentication information, complaint correspondence and workflow audit records. Optional analytics or third party services shall be described only if they are enabled and assessed.</w:t>
      </w:r>
    </w:p>
    <w:p>
      <w:r>
        <w:t>The public notice shall identify the actual categories, sources, purposes and legal bases. Suggested purposes are repository publication and attribution, account administration, security, handling rights requests and complaints, and preservation accountability. This draft does not designate consent as the universal basis. Each purpose shall have an appropriate basis documented by the controller.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5" w:type="dxa"/>
          <w:left w:w="95" w:type="dxa"/>
          <w:bottom w:w="95" w:type="dxa"/>
          <w:right w:w="95" w:type="dxa"/>
        </w:tblCellMar>
      </w:tblPr>
      <w:tblGrid>
        <w:gridCol w:w="3515"/>
        <w:gridCol w:w="6123"/>
      </w:tblGrid>
      <w:tr>
        <w:trPr>
          <w:tblHeader/>
          <w:cantSplit/>
        </w:trPr>
        <w:tc>
          <w:tcPr>
            <w:tcW w:type="dxa" w:w="3515"/>
            <w:vAlign w:val="center"/>
            <w:shd w:fill="E3EAF0"/>
          </w:tcPr>
          <w:p>
            <w:pPr>
              <w:spacing w:after="40" w:before="40" w:line="252" w:lineRule="auto"/>
            </w:pPr>
            <w:r>
              <w:rPr>
                <w:b/>
                <w:color w:val="000000"/>
                <w:sz w:val="19"/>
              </w:rPr>
              <w:t>Processing activity</w:t>
            </w:r>
          </w:p>
        </w:tc>
        <w:tc>
          <w:tcPr>
            <w:tcW w:type="dxa" w:w="6123"/>
            <w:vAlign w:val="center"/>
            <w:shd w:fill="E3EAF0"/>
          </w:tcPr>
          <w:p>
            <w:pPr>
              <w:spacing w:after="40" w:before="40" w:line="252" w:lineRule="auto"/>
            </w:pPr>
            <w:r>
              <w:rPr>
                <w:b/>
                <w:color w:val="000000"/>
                <w:sz w:val="19"/>
              </w:rPr>
              <w:t>Details to confirm before publication</w:t>
            </w:r>
          </w:p>
        </w:tc>
      </w:tr>
      <w:tr>
        <w:trPr>
          <w:cantSplit/>
        </w:trPr>
        <w:tc>
          <w:tcPr>
            <w:tcW w:type="dxa" w:w="3515"/>
            <w:vAlign w:val="center"/>
          </w:tcPr>
          <w:p>
            <w:pPr>
              <w:spacing w:after="40" w:before="40" w:line="252" w:lineRule="auto"/>
            </w:pPr>
            <w:r>
              <w:rPr>
                <w:color w:val="000000"/>
                <w:sz w:val="19"/>
              </w:rPr>
              <w:t>Public creator metadata</w:t>
            </w:r>
          </w:p>
        </w:tc>
        <w:tc>
          <w:tcPr>
            <w:tcW w:type="dxa" w:w="6123"/>
            <w:vAlign w:val="center"/>
          </w:tcPr>
          <w:p>
            <w:pPr>
              <w:spacing w:after="40" w:before="40" w:line="252" w:lineRule="auto"/>
            </w:pPr>
            <w:r>
              <w:rPr>
                <w:color w:val="000000"/>
                <w:sz w:val="19"/>
              </w:rPr>
              <w:t>Source, basis, permitted public fields and correction process</w:t>
            </w:r>
          </w:p>
        </w:tc>
      </w:tr>
      <w:tr>
        <w:trPr>
          <w:cantSplit/>
        </w:trPr>
        <w:tc>
          <w:tcPr>
            <w:tcW w:type="dxa" w:w="3515"/>
            <w:vAlign w:val="center"/>
            <w:shd w:fill="F7F8FA"/>
          </w:tcPr>
          <w:p>
            <w:pPr>
              <w:spacing w:after="40" w:before="40" w:line="252" w:lineRule="auto"/>
            </w:pPr>
            <w:r>
              <w:rPr>
                <w:color w:val="000000"/>
                <w:sz w:val="19"/>
              </w:rPr>
              <w:t>Depositor accounts and submissions</w:t>
            </w:r>
          </w:p>
        </w:tc>
        <w:tc>
          <w:tcPr>
            <w:tcW w:type="dxa" w:w="6123"/>
            <w:vAlign w:val="center"/>
            <w:shd w:fill="F7F8FA"/>
          </w:tcPr>
          <w:p>
            <w:pPr>
              <w:spacing w:after="40" w:before="40" w:line="252" w:lineRule="auto"/>
            </w:pPr>
            <w:r>
              <w:rPr>
                <w:color w:val="000000"/>
                <w:sz w:val="19"/>
              </w:rPr>
              <w:t>Necessary fields, authentication, staff access and account retention</w:t>
            </w:r>
          </w:p>
        </w:tc>
      </w:tr>
      <w:tr>
        <w:trPr>
          <w:cantSplit/>
        </w:trPr>
        <w:tc>
          <w:tcPr>
            <w:tcW w:type="dxa" w:w="3515"/>
            <w:vAlign w:val="center"/>
          </w:tcPr>
          <w:p>
            <w:pPr>
              <w:spacing w:after="40" w:before="40" w:line="252" w:lineRule="auto"/>
            </w:pPr>
            <w:r>
              <w:rPr>
                <w:color w:val="000000"/>
                <w:sz w:val="19"/>
              </w:rPr>
              <w:t>Security and access logs</w:t>
            </w:r>
          </w:p>
        </w:tc>
        <w:tc>
          <w:tcPr>
            <w:tcW w:type="dxa" w:w="6123"/>
            <w:vAlign w:val="center"/>
          </w:tcPr>
          <w:p>
            <w:pPr>
              <w:spacing w:after="40" w:before="40" w:line="252" w:lineRule="auto"/>
            </w:pPr>
            <w:r>
              <w:rPr>
                <w:color w:val="000000"/>
                <w:sz w:val="19"/>
              </w:rPr>
              <w:t>Logged fields, purpose, basis, access and retention period</w:t>
            </w:r>
          </w:p>
        </w:tc>
      </w:tr>
      <w:tr>
        <w:trPr>
          <w:cantSplit/>
        </w:trPr>
        <w:tc>
          <w:tcPr>
            <w:tcW w:type="dxa" w:w="3515"/>
            <w:vAlign w:val="center"/>
            <w:shd w:fill="F7F8FA"/>
          </w:tcPr>
          <w:p>
            <w:pPr>
              <w:spacing w:after="40" w:before="40" w:line="252" w:lineRule="auto"/>
            </w:pPr>
            <w:r>
              <w:rPr>
                <w:color w:val="000000"/>
                <w:sz w:val="19"/>
              </w:rPr>
              <w:t>Complaints and audit records</w:t>
            </w:r>
          </w:p>
        </w:tc>
        <w:tc>
          <w:tcPr>
            <w:tcW w:type="dxa" w:w="6123"/>
            <w:vAlign w:val="center"/>
            <w:shd w:fill="F7F8FA"/>
          </w:tcPr>
          <w:p>
            <w:pPr>
              <w:spacing w:after="40" w:before="40" w:line="252" w:lineRule="auto"/>
            </w:pPr>
            <w:r>
              <w:rPr>
                <w:color w:val="000000"/>
                <w:sz w:val="19"/>
              </w:rPr>
              <w:t>Access restrictions, retention schedule and escalation owner</w:t>
            </w:r>
          </w:p>
        </w:tc>
      </w:tr>
      <w:tr>
        <w:trPr>
          <w:cantSplit/>
        </w:trPr>
        <w:tc>
          <w:tcPr>
            <w:tcW w:type="dxa" w:w="3515"/>
            <w:vAlign w:val="center"/>
          </w:tcPr>
          <w:p>
            <w:pPr>
              <w:spacing w:after="40" w:before="40" w:line="252" w:lineRule="auto"/>
            </w:pPr>
            <w:r>
              <w:rPr>
                <w:color w:val="000000"/>
                <w:sz w:val="19"/>
              </w:rPr>
              <w:t>Cookies and optional analytics</w:t>
            </w:r>
          </w:p>
        </w:tc>
        <w:tc>
          <w:tcPr>
            <w:tcW w:type="dxa" w:w="6123"/>
            <w:vAlign w:val="center"/>
          </w:tcPr>
          <w:p>
            <w:pPr>
              <w:spacing w:after="40" w:before="40" w:line="252" w:lineRule="auto"/>
            </w:pPr>
            <w:r>
              <w:rPr>
                <w:color w:val="000000"/>
                <w:sz w:val="19"/>
              </w:rPr>
              <w:t>Actual inventory, provider, purpose, consent requirements where applicable</w:t>
            </w:r>
          </w:p>
        </w:tc>
      </w:tr>
      <w:tr>
        <w:trPr>
          <w:cantSplit/>
        </w:trPr>
        <w:tc>
          <w:tcPr>
            <w:tcW w:type="dxa" w:w="3515"/>
            <w:vAlign w:val="center"/>
            <w:shd w:fill="F7F8FA"/>
          </w:tcPr>
          <w:p>
            <w:pPr>
              <w:spacing w:after="40" w:before="40" w:line="252" w:lineRule="auto"/>
            </w:pPr>
            <w:r>
              <w:rPr>
                <w:color w:val="000000"/>
                <w:sz w:val="19"/>
              </w:rPr>
              <w:t>Hosting backups and external services</w:t>
            </w:r>
          </w:p>
        </w:tc>
        <w:tc>
          <w:tcPr>
            <w:tcW w:type="dxa" w:w="6123"/>
            <w:vAlign w:val="center"/>
            <w:shd w:fill="F7F8FA"/>
          </w:tcPr>
          <w:p>
            <w:pPr>
              <w:spacing w:after="40" w:before="40" w:line="252" w:lineRule="auto"/>
            </w:pPr>
            <w:r>
              <w:rPr>
                <w:color w:val="000000"/>
                <w:sz w:val="19"/>
              </w:rPr>
              <w:t>Processor arrangements, locations, transfers and backup expiry</w:t>
            </w:r>
          </w:p>
        </w:tc>
      </w:tr>
    </w:tbl>
    <w:p>
      <w:pPr>
        <w:spacing w:after="20" w:before="0" w:line="96" w:lineRule="auto"/>
      </w:pPr>
      <w:r>
        <w:rPr>
          <w:sz w:val="6"/>
        </w:rPr>
      </w:r>
    </w:p>
    <w:p>
      <w:r>
        <w:t>This schedule is part of the approval work. It shall be replaced with the confirmed processing information in the public notice; unspecified retention or transfer terms shall not be published as settled facts.</w:t>
      </w:r>
    </w:p>
    <w:p>
      <w:pPr>
        <w:pStyle w:val="Heading1"/>
      </w:pPr>
      <w:r>
        <w:t>Research data containing personal information</w:t>
      </w:r>
    </w:p>
    <w:p>
      <w:r>
        <w:t>Depositors shall identify personal, sensitive or confidential information and the authority for depositing and sharing it. De-identification does not automatically remove disclosure risk. Where the repository cannot safely support the proposed access conditions, the deposit shall be refused or referred to an appropriate approved service.</w:t>
      </w:r>
    </w:p>
    <w:p>
      <w:r>
        <w:t>Restricted files shall be accessible only through the implemented authorisation workflow. Public metadata shall not expose identities or other protected information. Ethics approval does not alone establish a legal basis for public release or permission to reuse personal information. Licences do not displace applicable privacy and confidentiality duties.</w:t>
      </w:r>
    </w:p>
    <w:p>
      <w:pPr>
        <w:pStyle w:val="Heading1"/>
      </w:pPr>
      <w:r>
        <w:t>Security recipients and transfers</w:t>
      </w:r>
    </w:p>
    <w:p>
      <w:r>
        <w:t>UIST shall limit account, complaint and restricted-data access to authorised personnel and maintain appropriate technical and organisational controls. The adopted notice shall identify hosting and service recipients or meaningful recipient categories. Transfers outside North Macedonia, if any, shall be assessed and described with the applicable safeguards; a hosting country shall not be inferred from a website address.</w:t>
      </w:r>
    </w:p>
    <w:p>
      <w:r>
        <w:t>Operational documentation shall specify handling of security incidents and personal data breaches, including assessment, escalation and notification according to applicable law. This draft does not set an unverified statutory deadline. Data removed from the active service may remain in protected backups until the approved expiry process applies, subject to appropriate measures against unintended restoration.</w:t>
      </w:r>
    </w:p>
    <w:p>
      <w:pPr>
        <w:pStyle w:val="Heading1"/>
      </w:pPr>
      <w:r>
        <w:t>Individual rights and complaints</w:t>
      </w:r>
    </w:p>
    <w:p>
      <w:r>
        <w:t>Individuals may contact the designated personal data officer to request information about processing and exercise applicable rights, including access, correction, erasure, restriction, objection and portability where the legal conditions apply. Identity verification shall be proportionate. UIST shall record the request, assess the applicable duty and respond within the legally applicable period. The notice shall explain the right to complain to the supervisory authority and provide its current official link.</w:t>
      </w:r>
    </w:p>
    <w:p>
      <w:pPr>
        <w:pStyle w:val="Heading1"/>
      </w:pPr>
      <w:r>
        <w:t>Notice and temporary restriction</w:t>
      </w:r>
    </w:p>
    <w:p>
      <w:r>
        <w:t>A person raising a concern should identify the record URL or identifier, the affected material, the basis of the concern, their relationship to it and a contact for follow-up. Requests should provide enough evidence to evaluate the claim without unnecessary personal information. A complaint shall not be made public merely because it concerns a public record.</w:t>
      </w:r>
    </w:p>
    <w:p>
      <w:r>
        <w:t>The repository owner may temporarily restrict files or metadata where there is a credible concern requiring urgent protection. The action, reason, scope and reviewer shall be recorded. Immediate restriction is precautionary and does not determine the final merits. The depositor shall normally be informed and given an opportunity to respond unless doing so would conflict with law, safety or the investigation.</w:t>
      </w:r>
    </w:p>
    <w:p>
      <w:pPr>
        <w:pStyle w:val="Heading1"/>
      </w:pPr>
      <w:r>
        <w:t>Resolution withdrawal and appeals</w:t>
      </w:r>
    </w:p>
    <w:p>
      <w:r>
        <w:t>The competent reviewer shall decide whether to restore access, correct metadata, redact or replace authorised material, maintain restrictions, reject the complaint or withdraw the affected output. Legal and privacy questions shall be escalated to the appropriate University officer. The decision shall identify its reasons and the lawful information that may be given to the parties.</w:t>
      </w:r>
    </w:p>
    <w:p>
      <w:r>
        <w:t>Where lawful, a withdrawn output shall retain its identifier and a minimal notice recording withdrawal status and a non-sensitive explanation. Protected personal information shall not be retained in a public tombstone solely to preserve a citation. A record may be suppressed entirely where law or risk requires it. A new version shall be linked separately when the change is substantive.</w:t>
      </w:r>
    </w:p>
    <w:p>
      <w:r>
        <w:t>An affected party may request review by [independent institutional authority nominated on adoption]. The appeal shall be reviewed by someone who did not make the original decision where practicable. UIST shall confirm internal response targets and review arrangements before advertising them. Internal review does not remove external legal remedies or the right to approach the supervisory authority.</w:t>
      </w:r>
    </w:p>
    <w:p>
      <w:pPr>
        <w:pStyle w:val="Heading1"/>
      </w:pPr>
      <w:r>
        <w:t>Decisions requested from the approving authority</w:t>
      </w:r>
    </w:p>
    <w:p>
      <w:r>
        <w:t>Confirm the controller, contact and competent privacy officer; complete the processing schedule; approve the complaint and appeal roles; and align retention, security, hosting and transfer statements with actual operation. Legal review shall confirm the final rights and complaint wording. The existing website privacy and user-agreement text shall be checked against the adopted policy before replacement or republication.</w:t>
      </w:r>
    </w:p>
    <w:p>
      <w:pPr>
        <w:pStyle w:val="Heading1"/>
      </w:pPr>
      <w:r>
        <w:t>Drafting basis</w:t>
      </w:r>
    </w:p>
    <w:p>
      <w:r>
        <w:t>This proposal uses the official North Macedonia personal data framework and the documented complaint, access and withdrawal practices of comparator repositories. It is a UIST approval draft, not an adopted privacy notice or a finding that any existing processing is lawful.</w:t>
      </w:r>
    </w:p>
    <w:p>
      <w:pPr>
        <w:spacing w:after="100"/>
      </w:pPr>
      <w:r>
        <w:rPr>
          <w:sz w:val="18"/>
        </w:rPr>
      </w:r>
      <w:hyperlink r:id="rId10">
        <w:r>
          <w:rPr>
            <w:color w:val="1A4A72"/>
            <w:u w:val="single"/>
          </w:rPr>
          <w:t>Agency for Personal Data Protection laws and amendments</w:t>
        </w:r>
      </w:hyperlink>
      <w:r>
        <w:rPr>
          <w:sz w:val="18"/>
        </w:rPr>
      </w:r>
    </w:p>
    <w:p>
      <w:pPr>
        <w:spacing w:after="100"/>
      </w:pPr>
      <w:r>
        <w:rPr>
          <w:sz w:val="18"/>
        </w:rPr>
      </w:r>
      <w:hyperlink r:id="rId11">
        <w:r>
          <w:rPr>
            <w:color w:val="1A4A72"/>
            <w:u w:val="single"/>
          </w:rPr>
          <w:t>UIST personal data protection information</w:t>
        </w:r>
      </w:hyperlink>
      <w:r>
        <w:rPr>
          <w:sz w:val="18"/>
        </w:rPr>
      </w:r>
    </w:p>
    <w:p>
      <w:pPr>
        <w:spacing w:after="100"/>
      </w:pPr>
      <w:r>
        <w:rPr>
          <w:sz w:val="18"/>
        </w:rPr>
      </w:r>
      <w:hyperlink r:id="rId12">
        <w:r>
          <w:rPr>
            <w:color w:val="1A4A72"/>
            <w:u w:val="single"/>
          </w:rPr>
          <w:t>SWISSUbase Platform Privacy Notice</w:t>
        </w:r>
      </w:hyperlink>
      <w:r>
        <w:rPr>
          <w:sz w:val="18"/>
        </w:rPr>
      </w:r>
    </w:p>
    <w:p>
      <w:pPr>
        <w:spacing w:after="100"/>
      </w:pPr>
      <w:r>
        <w:rPr>
          <w:sz w:val="18"/>
        </w:rPr>
      </w:r>
      <w:hyperlink r:id="rId13">
        <w:r>
          <w:rPr>
            <w:color w:val="1A4A72"/>
            <w:u w:val="single"/>
          </w:rPr>
          <w:t>DABAR repository policies and withdrawal rules</w:t>
        </w:r>
      </w:hyperlink>
      <w:r>
        <w:rPr>
          <w:sz w:val="18"/>
        </w:rPr>
      </w:r>
    </w:p>
    <w:p>
      <w:pPr>
        <w:spacing w:after="100"/>
      </w:pPr>
      <w:r>
        <w:rPr>
          <w:sz w:val="18"/>
        </w:rPr>
      </w:r>
      <w:hyperlink r:id="rId14">
        <w:r>
          <w:rPr>
            <w:color w:val="1A4A72"/>
            <w:u w:val="single"/>
          </w:rPr>
          <w:t>DABAR privacy notice</w:t>
        </w:r>
      </w:hyperlink>
      <w:r>
        <w:rPr>
          <w:sz w:val="18"/>
        </w:rPr>
      </w:r>
    </w:p>
    <w:sectPr w:rsidR="00FC693F" w:rsidRPr="0006063C" w:rsidSect="00034616">
      <w:footerReference w:type="default" r:id="rId9"/>
      <w:pgSz w:w="11906" w:h="16838"/>
      <w:pgMar w:top="1077" w:right="1134" w:bottom="1077" w:left="1134" w:header="72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sz w:val="16"/>
      </w:rPr>
      <w:t xml:space="preserve">UIST   |   Draft for review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20"/>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Calibri" w:hAnsi="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libri" w:hAnsi="Calibr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contextualSpacing/>
    </w:pPr>
    <w:rPr>
      <w:rFonts w:asciiTheme="majorHAnsi" w:eastAsiaTheme="majorEastAsia" w:hAnsiTheme="majorHAnsi" w:cstheme="majorBidi" w:ascii="Calibri" w:hAnsi="Calibri"/>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azlp.mk/en/pdpa/regulations-and-documents/laws/" TargetMode="External"/><Relationship Id="rId11" Type="http://schemas.openxmlformats.org/officeDocument/2006/relationships/hyperlink" Target="https://uist.edu.mk/info-center/protection-personal-data/" TargetMode="External"/><Relationship Id="rId12" Type="http://schemas.openxmlformats.org/officeDocument/2006/relationships/hyperlink" Target="https://info.swissubase.ch/resources/?sr=5046" TargetMode="External"/><Relationship Id="rId13" Type="http://schemas.openxmlformats.org/officeDocument/2006/relationships/hyperlink" Target="https://dabar.srce.hr/en/repository-policies" TargetMode="External"/><Relationship Id="rId14" Type="http://schemas.openxmlformats.org/officeDocument/2006/relationships/hyperlink" Target="https://dabar.srce.hr/en/privacy-noti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UIST Repository Privacy Takedown and Appeals Policy</dc:title>
  <dc:subject>UIST repository policies and registry readiness</dc:subject>
  <dc:creator>UIST Digital Repository development team</dc:creator>
  <cp:keywords>Draft; rector review; UIST; re3data; FAIRsharing</cp:keywords>
  <dc:description>generated by python-docx</dc:description>
  <cp:lastModifiedBy/>
  <cp:revision>1</cp:revision>
  <dcterms:created xsi:type="dcterms:W3CDTF">2026-10-03T10:00:00Z</dcterms:created>
  <dcterms:modified xsi:type="dcterms:W3CDTF">2013-12-23T23:15:00Z</dcterms:modified>
  <cp:category/>
</cp:coreProperties>
</file>