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C888C2" w14:textId="77777777" w:rsidR="00170D88" w:rsidRDefault="00000000">
      <w:pPr>
        <w:spacing w:after="80"/>
        <w:jc w:val="center"/>
      </w:pPr>
      <w:r>
        <w:rPr>
          <w:caps/>
          <w:color w:val="2E75B6"/>
        </w:rPr>
        <w:t>Research Methodology — Project Report</w:t>
      </w:r>
    </w:p>
    <w:p w14:paraId="2F334388" w14:textId="77777777" w:rsidR="00170D88" w:rsidRDefault="00000000">
      <w:pPr>
        <w:spacing w:after="60"/>
        <w:jc w:val="center"/>
      </w:pPr>
      <w:r>
        <w:rPr>
          <w:b/>
          <w:bCs/>
          <w:color w:val="1B3A6B"/>
          <w:sz w:val="44"/>
          <w:szCs w:val="44"/>
        </w:rPr>
        <w:t>Exploratory Data Analysis of Amazon Sales Data</w:t>
      </w:r>
    </w:p>
    <w:p w14:paraId="5CB29611" w14:textId="77777777" w:rsidR="00170D88" w:rsidRDefault="00000000">
      <w:pPr>
        <w:spacing w:after="280"/>
        <w:jc w:val="center"/>
      </w:pPr>
      <w:r>
        <w:rPr>
          <w:i/>
          <w:iCs/>
          <w:color w:val="2E75B6"/>
          <w:sz w:val="28"/>
          <w:szCs w:val="28"/>
        </w:rPr>
        <w:t>Using Python</w:t>
      </w:r>
    </w:p>
    <w:p w14:paraId="4A33E5F6" w14:textId="77777777" w:rsidR="00170D88" w:rsidRDefault="00170D88">
      <w:pPr>
        <w:pBdr>
          <w:bottom w:val="single" w:sz="4" w:space="1" w:color="2E75B6"/>
        </w:pBdr>
        <w:spacing w:after="180"/>
      </w:pPr>
    </w:p>
    <w:p w14:paraId="46F2A6A3" w14:textId="77777777" w:rsidR="00170D88" w:rsidRDefault="00000000">
      <w:pPr>
        <w:shd w:val="clear" w:color="auto" w:fill="1B3A6B"/>
        <w:spacing w:before="240" w:after="120"/>
      </w:pPr>
      <w:r>
        <w:rPr>
          <w:b/>
          <w:bCs/>
          <w:color w:val="FFFFFF"/>
          <w:sz w:val="28"/>
          <w:szCs w:val="28"/>
        </w:rPr>
        <w:t>1.  Introduction</w:t>
      </w:r>
    </w:p>
    <w:p w14:paraId="65EF962D" w14:textId="77777777" w:rsidR="00170D88" w:rsidRDefault="00170D88">
      <w:pPr>
        <w:spacing w:after="80"/>
      </w:pPr>
    </w:p>
    <w:p w14:paraId="336129D2" w14:textId="77777777" w:rsidR="00170D88" w:rsidRDefault="00000000">
      <w:pPr>
        <w:spacing w:before="60" w:after="60"/>
        <w:jc w:val="both"/>
      </w:pPr>
      <w:r>
        <w:t>The rapid expansion of e-commerce has fundamentally transformed global retail, with platforms like Amazon emerging as dominant forces in the way consumers discover, evaluate, and purchase products. As digital transactions generate vast amounts of structured data, the ability to analyse this data systematically has become an indispensable tool for understanding market behaviour, customer preferences, and revenue dynamics.</w:t>
      </w:r>
    </w:p>
    <w:p w14:paraId="318E1F3A" w14:textId="77777777" w:rsidR="00170D88" w:rsidRDefault="00000000">
      <w:pPr>
        <w:spacing w:before="60" w:after="60"/>
        <w:jc w:val="both"/>
      </w:pPr>
      <w:r>
        <w:t>This project undertakes an Exploratory Data Analysis (EDA) of an Amazon sales dataset comprising 50,000 transaction records spanning two years — from January 2022 to December 2023. The dataset captures a comprehensive range of variables across the sales pipeline, including order details, product categories, pricing, discount structures, quantity sold, customer regions, payment methods, product ratings, and review counts. Specifically, it covers six product categories — Electronics, Fashion, Books, Beauty, Sports, and Home &amp; Kitchen — across four major global regions: North America, Asia, Europe, and the Middle East.</w:t>
      </w:r>
    </w:p>
    <w:p w14:paraId="3450C7EB" w14:textId="77777777" w:rsidR="00170D88" w:rsidRDefault="00000000">
      <w:pPr>
        <w:spacing w:before="60" w:after="60"/>
        <w:jc w:val="both"/>
      </w:pPr>
      <w:r>
        <w:t>By applying Python-based EDA techniques — including descriptive statistics, data visualisation, and pattern recognition — this study aims to surface meaningful trends and correlations within the dataset. The findings have practical relevance for e-commerce businesses seeking to optimise their sales strategies, improve customer experience, and allocate resources more effectively across product lines and geographies.</w:t>
      </w:r>
    </w:p>
    <w:p w14:paraId="1A123FAA" w14:textId="77777777" w:rsidR="00170D88" w:rsidRDefault="00170D88">
      <w:pPr>
        <w:spacing w:after="160"/>
      </w:pPr>
    </w:p>
    <w:p w14:paraId="49212690" w14:textId="77777777" w:rsidR="00170D88" w:rsidRDefault="00000000">
      <w:pPr>
        <w:shd w:val="clear" w:color="auto" w:fill="1B3A6B"/>
        <w:spacing w:before="240" w:after="120"/>
      </w:pPr>
      <w:r>
        <w:rPr>
          <w:b/>
          <w:bCs/>
          <w:color w:val="FFFFFF"/>
          <w:sz w:val="28"/>
          <w:szCs w:val="28"/>
        </w:rPr>
        <w:t>2.  Objectives of the Study</w:t>
      </w:r>
    </w:p>
    <w:p w14:paraId="17D138EF" w14:textId="77777777" w:rsidR="00170D88" w:rsidRDefault="00170D88">
      <w:pPr>
        <w:spacing w:after="80"/>
      </w:pPr>
    </w:p>
    <w:p w14:paraId="5081DB66" w14:textId="77777777" w:rsidR="00170D88" w:rsidRDefault="00000000">
      <w:pPr>
        <w:spacing w:before="60" w:after="60"/>
        <w:jc w:val="both"/>
      </w:pPr>
      <w:r>
        <w:t>The primary objectives of this exploratory data analysis project are:</w:t>
      </w:r>
    </w:p>
    <w:p w14:paraId="20CAC933" w14:textId="77777777" w:rsidR="00170D88" w:rsidRDefault="00000000">
      <w:pPr>
        <w:pStyle w:val="ListParagraph"/>
        <w:numPr>
          <w:ilvl w:val="0"/>
          <w:numId w:val="2"/>
        </w:numPr>
        <w:spacing w:before="40" w:after="40"/>
      </w:pPr>
      <w:r>
        <w:t>To examine the distributional characteristics and statistical properties of all numerical and categorical variables in the Amazon sales dataset.</w:t>
      </w:r>
    </w:p>
    <w:p w14:paraId="1E9567A5" w14:textId="77777777" w:rsidR="00170D88" w:rsidRDefault="00000000">
      <w:pPr>
        <w:pStyle w:val="ListParagraph"/>
        <w:numPr>
          <w:ilvl w:val="0"/>
          <w:numId w:val="2"/>
        </w:numPr>
        <w:spacing w:before="40" w:after="40"/>
      </w:pPr>
      <w:r>
        <w:t>To identify the key drivers of total revenue by analysing the relationships between price, quantity sold, discount percentage, and revenue outcomes.</w:t>
      </w:r>
    </w:p>
    <w:p w14:paraId="64B5EEAB" w14:textId="77777777" w:rsidR="00170D88" w:rsidRDefault="00000000">
      <w:pPr>
        <w:pStyle w:val="ListParagraph"/>
        <w:numPr>
          <w:ilvl w:val="0"/>
          <w:numId w:val="2"/>
        </w:numPr>
        <w:spacing w:before="40" w:after="40"/>
      </w:pPr>
      <w:r>
        <w:t>To investigate whether product category, customer region, or payment method significantly influences sales performance, pricing, or customer satisfaction.</w:t>
      </w:r>
    </w:p>
    <w:p w14:paraId="32920C22" w14:textId="77777777" w:rsidR="00170D88" w:rsidRDefault="00000000">
      <w:pPr>
        <w:pStyle w:val="ListParagraph"/>
        <w:numPr>
          <w:ilvl w:val="0"/>
          <w:numId w:val="2"/>
        </w:numPr>
        <w:spacing w:before="40" w:after="40"/>
      </w:pPr>
      <w:r>
        <w:t>To detect and document any outliers or anomalies in the data that may affect the reliability of downstream analysis.</w:t>
      </w:r>
    </w:p>
    <w:p w14:paraId="27E8516A" w14:textId="77777777" w:rsidR="00170D88" w:rsidRDefault="00000000">
      <w:pPr>
        <w:pStyle w:val="ListParagraph"/>
        <w:numPr>
          <w:ilvl w:val="0"/>
          <w:numId w:val="2"/>
        </w:numPr>
        <w:spacing w:before="40" w:after="40"/>
      </w:pPr>
      <w:r>
        <w:t>To assess temporal patterns in order frequency across months and days of the week.</w:t>
      </w:r>
    </w:p>
    <w:p w14:paraId="168819EA" w14:textId="77777777" w:rsidR="00170D88" w:rsidRDefault="00000000">
      <w:pPr>
        <w:pStyle w:val="ListParagraph"/>
        <w:numPr>
          <w:ilvl w:val="0"/>
          <w:numId w:val="2"/>
        </w:numPr>
        <w:spacing w:before="40" w:after="40"/>
      </w:pPr>
      <w:r>
        <w:t>To generate actionable insights relevant to pricing strategy, discount policy, and regional market behaviour using Python-based visualisation techniques.</w:t>
      </w:r>
    </w:p>
    <w:p w14:paraId="7E56E7A4" w14:textId="77777777" w:rsidR="00170D88" w:rsidRDefault="00170D88">
      <w:pPr>
        <w:spacing w:after="160"/>
      </w:pPr>
    </w:p>
    <w:p w14:paraId="67018346" w14:textId="77777777" w:rsidR="00170D88" w:rsidRDefault="00000000">
      <w:pPr>
        <w:shd w:val="clear" w:color="auto" w:fill="1B3A6B"/>
        <w:spacing w:before="240" w:after="120"/>
      </w:pPr>
      <w:r>
        <w:rPr>
          <w:b/>
          <w:bCs/>
          <w:color w:val="FFFFFF"/>
          <w:sz w:val="28"/>
          <w:szCs w:val="28"/>
        </w:rPr>
        <w:t>3.  About the Dataset</w:t>
      </w:r>
    </w:p>
    <w:p w14:paraId="401608A5" w14:textId="77777777" w:rsidR="00170D88" w:rsidRDefault="00170D88">
      <w:pPr>
        <w:spacing w:after="80"/>
      </w:pPr>
    </w:p>
    <w:p w14:paraId="28567138" w14:textId="77777777" w:rsidR="00170D88" w:rsidRDefault="00000000">
      <w:pPr>
        <w:spacing w:before="60" w:after="60"/>
        <w:jc w:val="both"/>
      </w:pPr>
      <w:r>
        <w:t xml:space="preserve">The dataset used in this project is a structured Amazon sales transaction dataset containing 50,000 records over the period January 2022 to December 2023. Each record represents a single order and </w:t>
      </w:r>
      <w:r>
        <w:lastRenderedPageBreak/>
        <w:t>captures information across 13 variables spanning product details, pricing, customer behaviour, and satisfaction metrics.</w:t>
      </w:r>
    </w:p>
    <w:p w14:paraId="17422B91" w14:textId="77777777" w:rsidR="00170D88" w:rsidRDefault="00170D88">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26"/>
      </w:tblGrid>
      <w:tr w:rsidR="00170D88" w14:paraId="512635F3"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608E1252" w14:textId="77777777" w:rsidR="00170D88" w:rsidRDefault="00000000">
            <w:r>
              <w:rPr>
                <w:b/>
                <w:bCs/>
                <w:color w:val="FFFFFF"/>
                <w:sz w:val="20"/>
                <w:szCs w:val="20"/>
              </w:rPr>
              <w:t>Attribute</w:t>
            </w:r>
          </w:p>
        </w:tc>
        <w:tc>
          <w:tcPr>
            <w:tcW w:w="6026"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4561B9EB" w14:textId="77777777" w:rsidR="00170D88" w:rsidRDefault="00000000">
            <w:r>
              <w:rPr>
                <w:b/>
                <w:bCs/>
                <w:color w:val="FFFFFF"/>
                <w:sz w:val="20"/>
                <w:szCs w:val="20"/>
              </w:rPr>
              <w:t>Details</w:t>
            </w:r>
          </w:p>
        </w:tc>
      </w:tr>
      <w:tr w:rsidR="00170D88" w14:paraId="6D98CEA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F0935A" w14:textId="77777777" w:rsidR="00170D88" w:rsidRDefault="00000000">
            <w:r>
              <w:rPr>
                <w:color w:val="1A1A2E"/>
                <w:sz w:val="20"/>
                <w:szCs w:val="20"/>
              </w:rPr>
              <w:t>Dataset Name</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51C900" w14:textId="77777777" w:rsidR="00170D88" w:rsidRDefault="00000000">
            <w:r>
              <w:rPr>
                <w:color w:val="1A1A2E"/>
                <w:sz w:val="20"/>
                <w:szCs w:val="20"/>
              </w:rPr>
              <w:t>Amazon Sales Dataset</w:t>
            </w:r>
          </w:p>
        </w:tc>
      </w:tr>
      <w:tr w:rsidR="00170D88" w14:paraId="5F18A1BE"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1A3CCBB7" w14:textId="77777777" w:rsidR="00170D88" w:rsidRDefault="00000000">
            <w:r>
              <w:rPr>
                <w:color w:val="1A1A2E"/>
                <w:sz w:val="20"/>
                <w:szCs w:val="20"/>
              </w:rPr>
              <w:t>Total Records</w:t>
            </w:r>
          </w:p>
        </w:tc>
        <w:tc>
          <w:tcPr>
            <w:tcW w:w="6026"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295FE673" w14:textId="77777777" w:rsidR="00170D88" w:rsidRDefault="00000000">
            <w:r>
              <w:rPr>
                <w:color w:val="1A1A2E"/>
                <w:sz w:val="20"/>
                <w:szCs w:val="20"/>
              </w:rPr>
              <w:t>50,000 Transactions</w:t>
            </w:r>
          </w:p>
        </w:tc>
      </w:tr>
      <w:tr w:rsidR="00170D88" w14:paraId="6242089D"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01D94E" w14:textId="77777777" w:rsidR="00170D88" w:rsidRDefault="00000000">
            <w:r>
              <w:rPr>
                <w:color w:val="1A1A2E"/>
                <w:sz w:val="20"/>
                <w:szCs w:val="20"/>
              </w:rPr>
              <w:t>Time Period</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FA52AA" w14:textId="77777777" w:rsidR="00170D88" w:rsidRDefault="00000000">
            <w:r>
              <w:rPr>
                <w:color w:val="1A1A2E"/>
                <w:sz w:val="20"/>
                <w:szCs w:val="20"/>
              </w:rPr>
              <w:t>January 2022 – December 2023</w:t>
            </w:r>
          </w:p>
        </w:tc>
      </w:tr>
      <w:tr w:rsidR="00170D88" w14:paraId="5E3A9ED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1A516C78" w14:textId="77777777" w:rsidR="00170D88" w:rsidRDefault="00000000">
            <w:r>
              <w:rPr>
                <w:color w:val="1A1A2E"/>
                <w:sz w:val="20"/>
                <w:szCs w:val="20"/>
              </w:rPr>
              <w:t>Product Categories</w:t>
            </w:r>
          </w:p>
        </w:tc>
        <w:tc>
          <w:tcPr>
            <w:tcW w:w="6026"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0BAED9E" w14:textId="77777777" w:rsidR="00170D88" w:rsidRDefault="00000000">
            <w:r>
              <w:rPr>
                <w:color w:val="1A1A2E"/>
                <w:sz w:val="20"/>
                <w:szCs w:val="20"/>
              </w:rPr>
              <w:t>Books, Fashion, Sports, Beauty, Electronics, Home &amp; Kitchen</w:t>
            </w:r>
          </w:p>
        </w:tc>
      </w:tr>
      <w:tr w:rsidR="00170D88" w14:paraId="2A1F10F1"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EB784B" w14:textId="77777777" w:rsidR="00170D88" w:rsidRDefault="00000000">
            <w:r>
              <w:rPr>
                <w:color w:val="1A1A2E"/>
                <w:sz w:val="20"/>
                <w:szCs w:val="20"/>
              </w:rPr>
              <w:t>Customer Regions</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7289D9" w14:textId="77777777" w:rsidR="00170D88" w:rsidRDefault="00000000">
            <w:r>
              <w:rPr>
                <w:color w:val="1A1A2E"/>
                <w:sz w:val="20"/>
                <w:szCs w:val="20"/>
              </w:rPr>
              <w:t>North America, Asia, Europe, Middle East</w:t>
            </w:r>
          </w:p>
        </w:tc>
      </w:tr>
      <w:tr w:rsidR="00170D88" w14:paraId="3AE4FB45"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04D9AF7E" w14:textId="77777777" w:rsidR="00170D88" w:rsidRDefault="00000000">
            <w:r>
              <w:rPr>
                <w:color w:val="1A1A2E"/>
                <w:sz w:val="20"/>
                <w:szCs w:val="20"/>
              </w:rPr>
              <w:t>Payment Methods</w:t>
            </w:r>
          </w:p>
        </w:tc>
        <w:tc>
          <w:tcPr>
            <w:tcW w:w="6026"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2E2E2242" w14:textId="77777777" w:rsidR="00170D88" w:rsidRDefault="00000000">
            <w:r>
              <w:rPr>
                <w:color w:val="1A1A2E"/>
                <w:sz w:val="20"/>
                <w:szCs w:val="20"/>
              </w:rPr>
              <w:t>UPI, Credit Card, Debit Card, Wallet, Cash on Delivery</w:t>
            </w:r>
          </w:p>
        </w:tc>
      </w:tr>
      <w:tr w:rsidR="00170D88" w14:paraId="7BF19D6D"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884FDE" w14:textId="77777777" w:rsidR="00170D88" w:rsidRDefault="00000000">
            <w:r>
              <w:rPr>
                <w:color w:val="1A1A2E"/>
                <w:sz w:val="20"/>
                <w:szCs w:val="20"/>
              </w:rPr>
              <w:t>Price Range</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6CF4A0" w14:textId="77777777" w:rsidR="00170D88" w:rsidRDefault="00000000">
            <w:r>
              <w:rPr>
                <w:color w:val="1A1A2E"/>
                <w:sz w:val="20"/>
                <w:szCs w:val="20"/>
              </w:rPr>
              <w:t>5.01 – 499.99</w:t>
            </w:r>
          </w:p>
        </w:tc>
      </w:tr>
      <w:tr w:rsidR="00170D88" w14:paraId="3B887AA5"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7F314FD0" w14:textId="77777777" w:rsidR="00170D88" w:rsidRDefault="00000000">
            <w:r>
              <w:rPr>
                <w:color w:val="1A1A2E"/>
                <w:sz w:val="20"/>
                <w:szCs w:val="20"/>
              </w:rPr>
              <w:t>Discount Range</w:t>
            </w:r>
          </w:p>
        </w:tc>
        <w:tc>
          <w:tcPr>
            <w:tcW w:w="6026"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21CFCA16" w14:textId="77777777" w:rsidR="00170D88" w:rsidRDefault="00000000">
            <w:r>
              <w:rPr>
                <w:color w:val="1A1A2E"/>
                <w:sz w:val="20"/>
                <w:szCs w:val="20"/>
              </w:rPr>
              <w:t>0% – 30% (discrete tiers)</w:t>
            </w:r>
          </w:p>
        </w:tc>
      </w:tr>
      <w:tr w:rsidR="00170D88" w14:paraId="560E2726"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D5DECF" w14:textId="77777777" w:rsidR="00170D88" w:rsidRDefault="00000000">
            <w:r>
              <w:rPr>
                <w:color w:val="1A1A2E"/>
                <w:sz w:val="20"/>
                <w:szCs w:val="20"/>
              </w:rPr>
              <w:t>Quantity Sold</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D1A75C" w14:textId="77777777" w:rsidR="00170D88" w:rsidRDefault="00000000">
            <w:r>
              <w:rPr>
                <w:color w:val="1A1A2E"/>
                <w:sz w:val="20"/>
                <w:szCs w:val="20"/>
              </w:rPr>
              <w:t>1 – 5 units per order</w:t>
            </w:r>
          </w:p>
        </w:tc>
      </w:tr>
      <w:tr w:rsidR="00170D88" w14:paraId="1D369124"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7800B584" w14:textId="77777777" w:rsidR="00170D88" w:rsidRDefault="00000000">
            <w:r>
              <w:rPr>
                <w:color w:val="1A1A2E"/>
                <w:sz w:val="20"/>
                <w:szCs w:val="20"/>
              </w:rPr>
              <w:t>Rating Range</w:t>
            </w:r>
          </w:p>
        </w:tc>
        <w:tc>
          <w:tcPr>
            <w:tcW w:w="6026"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E408B8D" w14:textId="77777777" w:rsidR="00170D88" w:rsidRDefault="00000000">
            <w:r>
              <w:rPr>
                <w:color w:val="1A1A2E"/>
                <w:sz w:val="20"/>
                <w:szCs w:val="20"/>
              </w:rPr>
              <w:t>1.0 – 5.0 (Mean: 3.0)</w:t>
            </w:r>
          </w:p>
        </w:tc>
      </w:tr>
      <w:tr w:rsidR="00170D88" w14:paraId="4A9A9C5D"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6AE1A7" w14:textId="77777777" w:rsidR="00170D88" w:rsidRDefault="00000000">
            <w:r>
              <w:rPr>
                <w:color w:val="1A1A2E"/>
                <w:sz w:val="20"/>
                <w:szCs w:val="20"/>
              </w:rPr>
              <w:t>Source</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5F99C4" w14:textId="77777777" w:rsidR="00170D88" w:rsidRDefault="00000000">
            <w:r>
              <w:rPr>
                <w:color w:val="1A1A2E"/>
                <w:sz w:val="20"/>
                <w:szCs w:val="20"/>
              </w:rPr>
              <w:t>Synthetic Amazon Sales Data (Kaggle)</w:t>
            </w:r>
          </w:p>
        </w:tc>
      </w:tr>
    </w:tbl>
    <w:p w14:paraId="286D836A" w14:textId="77777777" w:rsidR="00170D88" w:rsidRDefault="00170D88">
      <w:pPr>
        <w:spacing w:after="160"/>
      </w:pPr>
    </w:p>
    <w:p w14:paraId="0C573501" w14:textId="77777777" w:rsidR="00170D88" w:rsidRDefault="00000000">
      <w:pPr>
        <w:pBdr>
          <w:bottom w:val="single" w:sz="4" w:space="1" w:color="2E75B6"/>
        </w:pBdr>
        <w:spacing w:before="180" w:after="80"/>
      </w:pPr>
      <w:proofErr w:type="gramStart"/>
      <w:r>
        <w:rPr>
          <w:b/>
          <w:bCs/>
          <w:color w:val="1B3A6B"/>
          <w:sz w:val="24"/>
          <w:szCs w:val="24"/>
        </w:rPr>
        <w:t>3.1  Variable</w:t>
      </w:r>
      <w:proofErr w:type="gramEnd"/>
      <w:r>
        <w:rPr>
          <w:b/>
          <w:bCs/>
          <w:color w:val="1B3A6B"/>
          <w:sz w:val="24"/>
          <w:szCs w:val="24"/>
        </w:rPr>
        <w:t xml:space="preserve"> Descriptions</w:t>
      </w:r>
    </w:p>
    <w:p w14:paraId="08992362" w14:textId="77777777" w:rsidR="00170D88" w:rsidRDefault="00170D88">
      <w:pPr>
        <w:spacing w:after="80"/>
      </w:pPr>
    </w:p>
    <w:p w14:paraId="75EF2D08" w14:textId="77777777" w:rsidR="00170D88" w:rsidRDefault="00000000">
      <w:pPr>
        <w:spacing w:before="100" w:after="40"/>
      </w:pPr>
      <w:r>
        <w:rPr>
          <w:b/>
          <w:bCs/>
          <w:color w:val="1B3A6B"/>
        </w:rPr>
        <w:t>Numerical Variables:</w:t>
      </w:r>
    </w:p>
    <w:p w14:paraId="739F8237" w14:textId="77777777" w:rsidR="00170D88" w:rsidRDefault="00000000">
      <w:pPr>
        <w:pStyle w:val="ListParagraph"/>
        <w:numPr>
          <w:ilvl w:val="0"/>
          <w:numId w:val="2"/>
        </w:numPr>
        <w:spacing w:before="40" w:after="40"/>
      </w:pPr>
      <w:proofErr w:type="spellStart"/>
      <w:r>
        <w:t>order_id</w:t>
      </w:r>
      <w:proofErr w:type="spellEnd"/>
      <w:r>
        <w:t xml:space="preserve"> — Unique sequential identifier assigned to each transaction.</w:t>
      </w:r>
    </w:p>
    <w:p w14:paraId="495370FD" w14:textId="77777777" w:rsidR="00170D88" w:rsidRDefault="00000000">
      <w:pPr>
        <w:pStyle w:val="ListParagraph"/>
        <w:numPr>
          <w:ilvl w:val="0"/>
          <w:numId w:val="2"/>
        </w:numPr>
        <w:spacing w:before="40" w:after="40"/>
      </w:pPr>
      <w:proofErr w:type="spellStart"/>
      <w:r>
        <w:t>product_id</w:t>
      </w:r>
      <w:proofErr w:type="spellEnd"/>
      <w:r>
        <w:t xml:space="preserve"> — Unique identifier for each product in the catalogue.</w:t>
      </w:r>
    </w:p>
    <w:p w14:paraId="2122813D" w14:textId="77777777" w:rsidR="00170D88" w:rsidRDefault="00000000">
      <w:pPr>
        <w:pStyle w:val="ListParagraph"/>
        <w:numPr>
          <w:ilvl w:val="0"/>
          <w:numId w:val="2"/>
        </w:numPr>
        <w:spacing w:before="40" w:after="40"/>
      </w:pPr>
      <w:r>
        <w:t>price — Original listed price of the product (5.01 to 499.99).</w:t>
      </w:r>
    </w:p>
    <w:p w14:paraId="43C4C725" w14:textId="77777777" w:rsidR="00170D88" w:rsidRDefault="00000000">
      <w:pPr>
        <w:pStyle w:val="ListParagraph"/>
        <w:numPr>
          <w:ilvl w:val="0"/>
          <w:numId w:val="2"/>
        </w:numPr>
        <w:spacing w:before="40" w:after="40"/>
      </w:pPr>
      <w:proofErr w:type="spellStart"/>
      <w:r>
        <w:t>discount_percent</w:t>
      </w:r>
      <w:proofErr w:type="spellEnd"/>
      <w:r>
        <w:t xml:space="preserve"> — Percentage discount offered (0%–30%, in discrete tiers: 0, 5, 10, 15, 20, 30).</w:t>
      </w:r>
    </w:p>
    <w:p w14:paraId="6F18A2F1" w14:textId="77777777" w:rsidR="00170D88" w:rsidRDefault="00000000">
      <w:pPr>
        <w:pStyle w:val="ListParagraph"/>
        <w:numPr>
          <w:ilvl w:val="0"/>
          <w:numId w:val="2"/>
        </w:numPr>
        <w:spacing w:before="40" w:after="40"/>
      </w:pPr>
      <w:proofErr w:type="spellStart"/>
      <w:r>
        <w:t>quantity_sold</w:t>
      </w:r>
      <w:proofErr w:type="spellEnd"/>
      <w:r>
        <w:t xml:space="preserve"> — Number of units purchased in a single order (integer values 1 to 5).</w:t>
      </w:r>
    </w:p>
    <w:p w14:paraId="1F2FE2DA" w14:textId="77777777" w:rsidR="00170D88" w:rsidRDefault="00000000">
      <w:pPr>
        <w:pStyle w:val="ListParagraph"/>
        <w:numPr>
          <w:ilvl w:val="0"/>
          <w:numId w:val="2"/>
        </w:numPr>
        <w:spacing w:before="40" w:after="40"/>
      </w:pPr>
      <w:r>
        <w:t>rating — Customer satisfaction score (1.0 to 5.0).</w:t>
      </w:r>
    </w:p>
    <w:p w14:paraId="0B1E7CDF" w14:textId="77777777" w:rsidR="00170D88" w:rsidRDefault="00000000">
      <w:pPr>
        <w:pStyle w:val="ListParagraph"/>
        <w:numPr>
          <w:ilvl w:val="0"/>
          <w:numId w:val="2"/>
        </w:numPr>
        <w:spacing w:before="40" w:after="40"/>
      </w:pPr>
      <w:proofErr w:type="spellStart"/>
      <w:r>
        <w:t>review_count</w:t>
      </w:r>
      <w:proofErr w:type="spellEnd"/>
      <w:r>
        <w:t xml:space="preserve"> — Total number of customer reviews received for the product (0 to 500).</w:t>
      </w:r>
    </w:p>
    <w:p w14:paraId="2BA928EA" w14:textId="77777777" w:rsidR="00170D88" w:rsidRDefault="00000000">
      <w:pPr>
        <w:pStyle w:val="ListParagraph"/>
        <w:numPr>
          <w:ilvl w:val="0"/>
          <w:numId w:val="2"/>
        </w:numPr>
        <w:spacing w:before="40" w:after="40"/>
      </w:pPr>
      <w:proofErr w:type="spellStart"/>
      <w:r>
        <w:t>discounted_price</w:t>
      </w:r>
      <w:proofErr w:type="spellEnd"/>
      <w:r>
        <w:t xml:space="preserve"> — Effective selling price after discount (derived: price × [1 − discount/100]).</w:t>
      </w:r>
    </w:p>
    <w:p w14:paraId="139371CD" w14:textId="77777777" w:rsidR="00170D88" w:rsidRDefault="00000000">
      <w:pPr>
        <w:pStyle w:val="ListParagraph"/>
        <w:numPr>
          <w:ilvl w:val="0"/>
          <w:numId w:val="2"/>
        </w:numPr>
        <w:spacing w:before="40" w:after="40"/>
      </w:pPr>
      <w:proofErr w:type="spellStart"/>
      <w:r>
        <w:t>total_revenue</w:t>
      </w:r>
      <w:proofErr w:type="spellEnd"/>
      <w:r>
        <w:t xml:space="preserve"> — Total revenue from the transaction (target variable: </w:t>
      </w:r>
      <w:proofErr w:type="spellStart"/>
      <w:r>
        <w:t>discounted_price</w:t>
      </w:r>
      <w:proofErr w:type="spellEnd"/>
      <w:r>
        <w:t xml:space="preserve"> × </w:t>
      </w:r>
      <w:proofErr w:type="spellStart"/>
      <w:r>
        <w:t>quantity_sold</w:t>
      </w:r>
      <w:proofErr w:type="spellEnd"/>
      <w:r>
        <w:t>).</w:t>
      </w:r>
    </w:p>
    <w:p w14:paraId="1A818251" w14:textId="77777777" w:rsidR="00170D88" w:rsidRDefault="00170D88">
      <w:pPr>
        <w:spacing w:after="80"/>
      </w:pPr>
    </w:p>
    <w:p w14:paraId="757123C8" w14:textId="77777777" w:rsidR="00170D88" w:rsidRDefault="00000000">
      <w:pPr>
        <w:spacing w:before="100" w:after="40"/>
      </w:pPr>
      <w:r>
        <w:rPr>
          <w:b/>
          <w:bCs/>
          <w:color w:val="1B3A6B"/>
        </w:rPr>
        <w:t>Categorical Variables:</w:t>
      </w:r>
    </w:p>
    <w:p w14:paraId="10769F01" w14:textId="77777777" w:rsidR="00170D88" w:rsidRDefault="00000000">
      <w:pPr>
        <w:pStyle w:val="ListParagraph"/>
        <w:numPr>
          <w:ilvl w:val="0"/>
          <w:numId w:val="2"/>
        </w:numPr>
        <w:spacing w:before="40" w:after="40"/>
      </w:pPr>
      <w:proofErr w:type="spellStart"/>
      <w:r>
        <w:t>order_date</w:t>
      </w:r>
      <w:proofErr w:type="spellEnd"/>
      <w:r>
        <w:t xml:space="preserve"> — Date of the order; used to extract month and day-of-week features.</w:t>
      </w:r>
    </w:p>
    <w:p w14:paraId="31BE99D8" w14:textId="77777777" w:rsidR="00170D88" w:rsidRDefault="00000000">
      <w:pPr>
        <w:pStyle w:val="ListParagraph"/>
        <w:numPr>
          <w:ilvl w:val="0"/>
          <w:numId w:val="2"/>
        </w:numPr>
        <w:spacing w:before="40" w:after="40"/>
      </w:pPr>
      <w:proofErr w:type="spellStart"/>
      <w:r>
        <w:t>product_category</w:t>
      </w:r>
      <w:proofErr w:type="spellEnd"/>
      <w:r>
        <w:t xml:space="preserve"> — Category of the product: Books, Fashion, Sports, Beauty, Electronics, Home &amp; Kitchen.</w:t>
      </w:r>
    </w:p>
    <w:p w14:paraId="7820BAF2" w14:textId="77777777" w:rsidR="00170D88" w:rsidRDefault="00000000">
      <w:pPr>
        <w:pStyle w:val="ListParagraph"/>
        <w:numPr>
          <w:ilvl w:val="0"/>
          <w:numId w:val="2"/>
        </w:numPr>
        <w:spacing w:before="40" w:after="40"/>
      </w:pPr>
      <w:proofErr w:type="spellStart"/>
      <w:r>
        <w:t>customer_region</w:t>
      </w:r>
      <w:proofErr w:type="spellEnd"/>
      <w:r>
        <w:t xml:space="preserve"> — Geographic region: North America, Asia, Europe, Middle East.</w:t>
      </w:r>
    </w:p>
    <w:p w14:paraId="1AB0E10F" w14:textId="77777777" w:rsidR="00170D88" w:rsidRDefault="00000000">
      <w:pPr>
        <w:pStyle w:val="ListParagraph"/>
        <w:numPr>
          <w:ilvl w:val="0"/>
          <w:numId w:val="2"/>
        </w:numPr>
        <w:spacing w:before="40" w:after="40"/>
      </w:pPr>
      <w:proofErr w:type="spellStart"/>
      <w:r>
        <w:t>payment_method</w:t>
      </w:r>
      <w:proofErr w:type="spellEnd"/>
      <w:r>
        <w:t xml:space="preserve"> — Payment mode: UPI, Credit Card, Debit Card, Wallet, Cash on Delivery.</w:t>
      </w:r>
    </w:p>
    <w:p w14:paraId="0EB6BBC4" w14:textId="77777777" w:rsidR="00170D88" w:rsidRDefault="00170D88">
      <w:pPr>
        <w:spacing w:after="200"/>
      </w:pPr>
    </w:p>
    <w:p w14:paraId="134E1457" w14:textId="77777777" w:rsidR="00170D88" w:rsidRDefault="00000000">
      <w:pPr>
        <w:shd w:val="clear" w:color="auto" w:fill="1B3A6B"/>
        <w:spacing w:before="240" w:after="120"/>
      </w:pPr>
      <w:r>
        <w:rPr>
          <w:b/>
          <w:bCs/>
          <w:color w:val="FFFFFF"/>
          <w:sz w:val="28"/>
          <w:szCs w:val="28"/>
        </w:rPr>
        <w:t>4.  Univariate Analysis</w:t>
      </w:r>
    </w:p>
    <w:p w14:paraId="356F01AE" w14:textId="77777777" w:rsidR="00170D88" w:rsidRDefault="00170D88">
      <w:pPr>
        <w:spacing w:after="80"/>
      </w:pPr>
    </w:p>
    <w:p w14:paraId="7EA05343" w14:textId="77777777" w:rsidR="00170D88" w:rsidRDefault="00000000">
      <w:pPr>
        <w:spacing w:before="60" w:after="60"/>
        <w:jc w:val="both"/>
      </w:pPr>
      <w:r>
        <w:t xml:space="preserve">Univariate analysis examines each variable individually to understand its distribution, central tendency, spread, and shape. The analysis was conducted for both numerical and categorical </w:t>
      </w:r>
      <w:r>
        <w:lastRenderedPageBreak/>
        <w:t>variables using histograms with KDE curves, box plots, skewness charts, count plots, pie charts, and frequency bar charts.</w:t>
      </w:r>
    </w:p>
    <w:p w14:paraId="67A7367C" w14:textId="77777777" w:rsidR="00170D88" w:rsidRDefault="00170D88">
      <w:pPr>
        <w:spacing w:after="120"/>
      </w:pPr>
    </w:p>
    <w:p w14:paraId="14E22AB6" w14:textId="77777777" w:rsidR="00170D88" w:rsidRDefault="00000000">
      <w:pPr>
        <w:pBdr>
          <w:bottom w:val="single" w:sz="4" w:space="1" w:color="2E75B6"/>
        </w:pBdr>
        <w:spacing w:before="180" w:after="80"/>
      </w:pPr>
      <w:proofErr w:type="gramStart"/>
      <w:r>
        <w:rPr>
          <w:b/>
          <w:bCs/>
          <w:color w:val="1B3A6B"/>
          <w:sz w:val="24"/>
          <w:szCs w:val="24"/>
        </w:rPr>
        <w:t>4.1  Numerical</w:t>
      </w:r>
      <w:proofErr w:type="gramEnd"/>
      <w:r>
        <w:rPr>
          <w:b/>
          <w:bCs/>
          <w:color w:val="1B3A6B"/>
          <w:sz w:val="24"/>
          <w:szCs w:val="24"/>
        </w:rPr>
        <w:t xml:space="preserve"> Variables</w:t>
      </w:r>
    </w:p>
    <w:p w14:paraId="438D3EAA" w14:textId="77777777" w:rsidR="00170D88" w:rsidRDefault="00170D88">
      <w:pPr>
        <w:spacing w:after="80"/>
      </w:pPr>
    </w:p>
    <w:p w14:paraId="1CA9E297" w14:textId="77777777" w:rsidR="00170D88" w:rsidRDefault="00000000">
      <w:pPr>
        <w:spacing w:before="120" w:after="60"/>
      </w:pPr>
      <w:proofErr w:type="gramStart"/>
      <w:r>
        <w:rPr>
          <w:b/>
          <w:bCs/>
          <w:color w:val="4472C4"/>
        </w:rPr>
        <w:t>4.1.1  Histograms</w:t>
      </w:r>
      <w:proofErr w:type="gramEnd"/>
      <w:r>
        <w:rPr>
          <w:b/>
          <w:bCs/>
          <w:color w:val="4472C4"/>
        </w:rPr>
        <w:t xml:space="preserve"> + KDE — Distribution and Central Tendency</w:t>
      </w:r>
    </w:p>
    <w:p w14:paraId="3C6684BC" w14:textId="77777777" w:rsidR="00170D88" w:rsidRDefault="00000000">
      <w:pPr>
        <w:spacing w:before="60" w:after="60"/>
        <w:jc w:val="both"/>
      </w:pPr>
      <w:r>
        <w:t xml:space="preserve">The distributions of all nine numerical variables were examined using histograms overlaid with Kernel Density Estimation (KDE) curves. </w:t>
      </w:r>
      <w:proofErr w:type="spellStart"/>
      <w:r>
        <w:t>order_id</w:t>
      </w:r>
      <w:proofErr w:type="spellEnd"/>
      <w:r>
        <w:t xml:space="preserve"> and </w:t>
      </w:r>
      <w:proofErr w:type="spellStart"/>
      <w:r>
        <w:t>product_id</w:t>
      </w:r>
      <w:proofErr w:type="spellEnd"/>
      <w:r>
        <w:t xml:space="preserve"> exhibit near-uniform distributions consistent with their role as sequential identifiers. price shows an approximately uniform distribution (mean 252.01, median 252.97). </w:t>
      </w:r>
      <w:proofErr w:type="spellStart"/>
      <w:r>
        <w:t>discount_percent</w:t>
      </w:r>
      <w:proofErr w:type="spellEnd"/>
      <w:r>
        <w:t xml:space="preserve"> is discrete and multi-modal — with spikes at 0%, 5%, 10%, 15%, 20%, and 30% — reflecting standardised discount tiers (mean 13.34%). </w:t>
      </w:r>
      <w:proofErr w:type="spellStart"/>
      <w:r>
        <w:t>quantity_sold</w:t>
      </w:r>
      <w:proofErr w:type="spellEnd"/>
      <w:r>
        <w:t xml:space="preserve"> and rating both take only integer values with means and medians equal to 3.0. </w:t>
      </w:r>
      <w:proofErr w:type="spellStart"/>
      <w:r>
        <w:t>discounted_price</w:t>
      </w:r>
      <w:proofErr w:type="spellEnd"/>
      <w:r>
        <w:t xml:space="preserve"> is mildly right-skewed (mean 218.89 &gt; median 215.81). </w:t>
      </w:r>
      <w:proofErr w:type="spellStart"/>
      <w:r>
        <w:t>total_revenue</w:t>
      </w:r>
      <w:proofErr w:type="spellEnd"/>
      <w:r>
        <w:t xml:space="preserve"> shows the strongest right-skew (mean 657.33 vs median 305.41), driven by high-value outlier transactions.</w:t>
      </w:r>
    </w:p>
    <w:p w14:paraId="43FEFDE2" w14:textId="77777777" w:rsidR="00170D88" w:rsidRDefault="00170D88">
      <w:pPr>
        <w:spacing w:after="80"/>
      </w:pPr>
    </w:p>
    <w:p w14:paraId="285E9BEC" w14:textId="77777777" w:rsidR="00170D88" w:rsidRDefault="00000000">
      <w:pPr>
        <w:spacing w:before="80" w:after="40"/>
        <w:jc w:val="center"/>
      </w:pPr>
      <w:r>
        <w:rPr>
          <w:noProof/>
        </w:rPr>
        <w:lastRenderedPageBreak/>
        <w:drawing>
          <wp:inline distT="0" distB="0" distL="0" distR="0" wp14:anchorId="6005FFAE" wp14:editId="612E9FDC">
            <wp:extent cx="2381250" cy="9144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381250" cy="9144000"/>
                    </a:xfrm>
                    <a:prstGeom prst="rect">
                      <a:avLst/>
                    </a:prstGeom>
                  </pic:spPr>
                </pic:pic>
              </a:graphicData>
            </a:graphic>
          </wp:inline>
        </w:drawing>
      </w:r>
    </w:p>
    <w:p w14:paraId="509077E3" w14:textId="77777777" w:rsidR="00170D88" w:rsidRDefault="00000000">
      <w:pPr>
        <w:spacing w:before="80" w:after="40"/>
        <w:jc w:val="center"/>
      </w:pPr>
      <w:r>
        <w:rPr>
          <w:noProof/>
        </w:rPr>
        <w:lastRenderedPageBreak/>
        <w:drawing>
          <wp:inline distT="0" distB="0" distL="0" distR="0" wp14:anchorId="54B7991B" wp14:editId="22798703">
            <wp:extent cx="2381250" cy="7315200"/>
            <wp:effectExtent l="0" t="0" r="0" b="0"/>
            <wp:docPr id="1524899084" name="Picture 15248990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381250" cy="7315200"/>
                    </a:xfrm>
                    <a:prstGeom prst="rect">
                      <a:avLst/>
                    </a:prstGeom>
                  </pic:spPr>
                </pic:pic>
              </a:graphicData>
            </a:graphic>
          </wp:inline>
        </w:drawing>
      </w:r>
    </w:p>
    <w:p w14:paraId="5154206C" w14:textId="77777777" w:rsidR="00170D88" w:rsidRDefault="00000000">
      <w:pPr>
        <w:spacing w:after="120"/>
        <w:jc w:val="center"/>
      </w:pPr>
      <w:r>
        <w:rPr>
          <w:i/>
          <w:iCs/>
          <w:color w:val="555555"/>
          <w:sz w:val="18"/>
          <w:szCs w:val="18"/>
        </w:rPr>
        <w:t>Figure 4.1: Histograms with KDE curves (left) and box plots (right) for all numerical variables.</w:t>
      </w:r>
    </w:p>
    <w:p w14:paraId="236CAAB9" w14:textId="77777777" w:rsidR="00170D88" w:rsidRDefault="00170D88">
      <w:pPr>
        <w:spacing w:after="160"/>
      </w:pPr>
    </w:p>
    <w:p w14:paraId="1ADE4CBB" w14:textId="77777777" w:rsidR="00170D88" w:rsidRDefault="00000000">
      <w:pPr>
        <w:spacing w:before="120" w:after="60"/>
      </w:pPr>
      <w:proofErr w:type="gramStart"/>
      <w:r>
        <w:rPr>
          <w:b/>
          <w:bCs/>
          <w:color w:val="4472C4"/>
        </w:rPr>
        <w:t>4.1.2  Skewness</w:t>
      </w:r>
      <w:proofErr w:type="gramEnd"/>
      <w:r>
        <w:rPr>
          <w:b/>
          <w:bCs/>
          <w:color w:val="4472C4"/>
        </w:rPr>
        <w:t xml:space="preserve"> of Numerical Variables</w:t>
      </w:r>
    </w:p>
    <w:p w14:paraId="5D326D63" w14:textId="77777777" w:rsidR="00170D88" w:rsidRDefault="00000000">
      <w:pPr>
        <w:spacing w:before="60" w:after="60"/>
        <w:jc w:val="both"/>
      </w:pPr>
      <w:r>
        <w:t xml:space="preserve">The skewness chart summarises the directional asymmetry of each variable. </w:t>
      </w:r>
      <w:proofErr w:type="spellStart"/>
      <w:r>
        <w:t>total_revenue</w:t>
      </w:r>
      <w:proofErr w:type="spellEnd"/>
      <w:r>
        <w:t xml:space="preserve"> records the highest skewness at +0.98, approaching the high-skew threshold. </w:t>
      </w:r>
      <w:proofErr w:type="spellStart"/>
      <w:r>
        <w:t>discount_percent</w:t>
      </w:r>
      <w:proofErr w:type="spellEnd"/>
      <w:r>
        <w:t xml:space="preserve"> shows moderate positive skewness (+0.34). </w:t>
      </w:r>
      <w:proofErr w:type="spellStart"/>
      <w:r>
        <w:t>discounted_price</w:t>
      </w:r>
      <w:proofErr w:type="spellEnd"/>
      <w:r>
        <w:t xml:space="preserve"> is mildly skewed (+0.12). All remaining variables — price, </w:t>
      </w:r>
      <w:proofErr w:type="spellStart"/>
      <w:r>
        <w:t>quantity_sold</w:t>
      </w:r>
      <w:proofErr w:type="spellEnd"/>
      <w:r>
        <w:t xml:space="preserve">, rating, </w:t>
      </w:r>
      <w:proofErr w:type="spellStart"/>
      <w:r>
        <w:t>review_count</w:t>
      </w:r>
      <w:proofErr w:type="spellEnd"/>
      <w:r>
        <w:t xml:space="preserve">, </w:t>
      </w:r>
      <w:proofErr w:type="spellStart"/>
      <w:r>
        <w:t>order_id</w:t>
      </w:r>
      <w:proofErr w:type="spellEnd"/>
      <w:r>
        <w:t xml:space="preserve">, </w:t>
      </w:r>
      <w:proofErr w:type="spellStart"/>
      <w:r>
        <w:t>product_id</w:t>
      </w:r>
      <w:proofErr w:type="spellEnd"/>
      <w:r>
        <w:t xml:space="preserve"> — record skewness at or near 0.00, confirming symmetric distributions.</w:t>
      </w:r>
    </w:p>
    <w:p w14:paraId="729B456E" w14:textId="77777777" w:rsidR="00170D88" w:rsidRDefault="00170D88">
      <w:pPr>
        <w:spacing w:after="80"/>
      </w:pPr>
    </w:p>
    <w:p w14:paraId="49C37E54" w14:textId="77777777" w:rsidR="00170D88" w:rsidRDefault="00000000">
      <w:pPr>
        <w:spacing w:before="80" w:after="40"/>
        <w:jc w:val="center"/>
      </w:pPr>
      <w:r>
        <w:rPr>
          <w:noProof/>
        </w:rPr>
        <w:lastRenderedPageBreak/>
        <w:drawing>
          <wp:inline distT="0" distB="0" distL="0" distR="0" wp14:anchorId="2B3D4EA4" wp14:editId="69FEA72B">
            <wp:extent cx="5667375" cy="3333750"/>
            <wp:effectExtent l="0" t="0" r="0" b="0"/>
            <wp:docPr id="193392889" name="Picture 1933928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667375" cy="3333750"/>
                    </a:xfrm>
                    <a:prstGeom prst="rect">
                      <a:avLst/>
                    </a:prstGeom>
                  </pic:spPr>
                </pic:pic>
              </a:graphicData>
            </a:graphic>
          </wp:inline>
        </w:drawing>
      </w:r>
    </w:p>
    <w:p w14:paraId="6BD22F9C" w14:textId="77777777" w:rsidR="00170D88" w:rsidRDefault="00000000">
      <w:pPr>
        <w:spacing w:after="120"/>
        <w:jc w:val="center"/>
      </w:pPr>
      <w:r>
        <w:rPr>
          <w:i/>
          <w:iCs/>
          <w:color w:val="555555"/>
          <w:sz w:val="18"/>
          <w:szCs w:val="18"/>
        </w:rPr>
        <w:t>Figure 4.2: Skewness of all numerical variables (dashed lines mark ±0.5 and ±1.0 thresholds).</w:t>
      </w:r>
    </w:p>
    <w:p w14:paraId="79795E5E" w14:textId="77777777" w:rsidR="00170D88" w:rsidRDefault="00170D88">
      <w:pPr>
        <w:spacing w:after="160"/>
      </w:pPr>
    </w:p>
    <w:p w14:paraId="40262F2A" w14:textId="77777777" w:rsidR="00170D88" w:rsidRDefault="00000000">
      <w:pPr>
        <w:pBdr>
          <w:bottom w:val="single" w:sz="4" w:space="1" w:color="2E75B6"/>
        </w:pBdr>
        <w:spacing w:before="180" w:after="80"/>
      </w:pPr>
      <w:proofErr w:type="gramStart"/>
      <w:r>
        <w:rPr>
          <w:b/>
          <w:bCs/>
          <w:color w:val="1B3A6B"/>
          <w:sz w:val="24"/>
          <w:szCs w:val="24"/>
        </w:rPr>
        <w:t>4.2  Categorical</w:t>
      </w:r>
      <w:proofErr w:type="gramEnd"/>
      <w:r>
        <w:rPr>
          <w:b/>
          <w:bCs/>
          <w:color w:val="1B3A6B"/>
          <w:sz w:val="24"/>
          <w:szCs w:val="24"/>
        </w:rPr>
        <w:t xml:space="preserve"> Variables</w:t>
      </w:r>
    </w:p>
    <w:p w14:paraId="13EC3135" w14:textId="77777777" w:rsidR="00170D88" w:rsidRDefault="00170D88">
      <w:pPr>
        <w:spacing w:after="80"/>
      </w:pPr>
    </w:p>
    <w:p w14:paraId="672874A6" w14:textId="77777777" w:rsidR="00170D88" w:rsidRDefault="00000000">
      <w:pPr>
        <w:spacing w:before="120" w:after="60"/>
      </w:pPr>
      <w:proofErr w:type="gramStart"/>
      <w:r>
        <w:rPr>
          <w:b/>
          <w:bCs/>
          <w:color w:val="4472C4"/>
        </w:rPr>
        <w:t>4.2.1  Product</w:t>
      </w:r>
      <w:proofErr w:type="gramEnd"/>
      <w:r>
        <w:rPr>
          <w:b/>
          <w:bCs/>
          <w:color w:val="4472C4"/>
        </w:rPr>
        <w:t xml:space="preserve"> Category</w:t>
      </w:r>
    </w:p>
    <w:p w14:paraId="160FFF91" w14:textId="77777777" w:rsidR="00170D88" w:rsidRDefault="00000000">
      <w:pPr>
        <w:spacing w:before="60" w:after="60"/>
        <w:jc w:val="both"/>
      </w:pPr>
      <w:r>
        <w:t>All six product categories are nearly equally represented, ranging from 8,258 (Home &amp; Kitchen) to 8,465 (Beauty) orders — each accounting for approximately 16.5%–16.9% of total orders. This uniform representation ensures no category bias in the analysis.</w:t>
      </w:r>
    </w:p>
    <w:p w14:paraId="7ECC096E" w14:textId="77777777" w:rsidR="00170D88" w:rsidRDefault="00170D88">
      <w:pPr>
        <w:spacing w:after="80"/>
      </w:pPr>
    </w:p>
    <w:p w14:paraId="7492C428" w14:textId="77777777" w:rsidR="00170D88" w:rsidRDefault="00000000">
      <w:pPr>
        <w:spacing w:before="80" w:after="40"/>
        <w:jc w:val="center"/>
      </w:pPr>
      <w:r>
        <w:rPr>
          <w:noProof/>
        </w:rPr>
        <w:drawing>
          <wp:inline distT="0" distB="0" distL="0" distR="0" wp14:anchorId="6960024C" wp14:editId="23450A1C">
            <wp:extent cx="5667375" cy="2743200"/>
            <wp:effectExtent l="0" t="0" r="0" b="0"/>
            <wp:docPr id="1844993186" name="Picture 18449931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667375" cy="2743200"/>
                    </a:xfrm>
                    <a:prstGeom prst="rect">
                      <a:avLst/>
                    </a:prstGeom>
                  </pic:spPr>
                </pic:pic>
              </a:graphicData>
            </a:graphic>
          </wp:inline>
        </w:drawing>
      </w:r>
    </w:p>
    <w:p w14:paraId="3D7C34D5" w14:textId="77777777" w:rsidR="00170D88" w:rsidRDefault="00000000">
      <w:pPr>
        <w:spacing w:after="120"/>
        <w:jc w:val="center"/>
      </w:pPr>
      <w:r>
        <w:rPr>
          <w:i/>
          <w:iCs/>
          <w:color w:val="555555"/>
          <w:sz w:val="18"/>
          <w:szCs w:val="18"/>
        </w:rPr>
        <w:t>Figure 4.3: Count plot — order frequency by product category.</w:t>
      </w:r>
    </w:p>
    <w:p w14:paraId="6103A46C" w14:textId="77777777" w:rsidR="00170D88" w:rsidRDefault="00170D88">
      <w:pPr>
        <w:spacing w:after="80"/>
      </w:pPr>
    </w:p>
    <w:p w14:paraId="63C7A34A" w14:textId="77777777" w:rsidR="00170D88" w:rsidRDefault="00000000">
      <w:pPr>
        <w:spacing w:before="80" w:after="40"/>
        <w:jc w:val="center"/>
      </w:pPr>
      <w:r>
        <w:rPr>
          <w:noProof/>
        </w:rPr>
        <w:lastRenderedPageBreak/>
        <w:drawing>
          <wp:inline distT="0" distB="0" distL="0" distR="0" wp14:anchorId="2AA18840" wp14:editId="11F4BBF2">
            <wp:extent cx="3838575" cy="4248150"/>
            <wp:effectExtent l="0" t="0" r="0" b="0"/>
            <wp:docPr id="2023480873" name="Picture 20234808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3838575" cy="4248150"/>
                    </a:xfrm>
                    <a:prstGeom prst="rect">
                      <a:avLst/>
                    </a:prstGeom>
                  </pic:spPr>
                </pic:pic>
              </a:graphicData>
            </a:graphic>
          </wp:inline>
        </w:drawing>
      </w:r>
    </w:p>
    <w:p w14:paraId="7CD048D6" w14:textId="77777777" w:rsidR="00170D88" w:rsidRDefault="00000000">
      <w:pPr>
        <w:spacing w:after="120"/>
        <w:jc w:val="center"/>
      </w:pPr>
      <w:r>
        <w:rPr>
          <w:i/>
          <w:iCs/>
          <w:color w:val="555555"/>
          <w:sz w:val="18"/>
          <w:szCs w:val="18"/>
        </w:rPr>
        <w:t>Figure 4.4: Pie chart — percentage share by product category.</w:t>
      </w:r>
    </w:p>
    <w:p w14:paraId="5D873CB7" w14:textId="77777777" w:rsidR="00170D88" w:rsidRDefault="00170D88">
      <w:pPr>
        <w:spacing w:after="80"/>
      </w:pPr>
    </w:p>
    <w:p w14:paraId="283125CD" w14:textId="77777777" w:rsidR="00170D88" w:rsidRDefault="00000000">
      <w:pPr>
        <w:spacing w:before="80" w:after="40"/>
        <w:jc w:val="center"/>
      </w:pPr>
      <w:r>
        <w:rPr>
          <w:noProof/>
        </w:rPr>
        <w:drawing>
          <wp:inline distT="0" distB="0" distL="0" distR="0" wp14:anchorId="74DAEB55" wp14:editId="0D831378">
            <wp:extent cx="5667375" cy="2743200"/>
            <wp:effectExtent l="0" t="0" r="0" b="0"/>
            <wp:docPr id="1372555628" name="Picture 13725556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667375" cy="2743200"/>
                    </a:xfrm>
                    <a:prstGeom prst="rect">
                      <a:avLst/>
                    </a:prstGeom>
                  </pic:spPr>
                </pic:pic>
              </a:graphicData>
            </a:graphic>
          </wp:inline>
        </w:drawing>
      </w:r>
    </w:p>
    <w:p w14:paraId="008403D7" w14:textId="77777777" w:rsidR="00170D88" w:rsidRDefault="00000000">
      <w:pPr>
        <w:spacing w:after="120"/>
        <w:jc w:val="center"/>
      </w:pPr>
      <w:r>
        <w:rPr>
          <w:i/>
          <w:iCs/>
          <w:color w:val="555555"/>
          <w:sz w:val="18"/>
          <w:szCs w:val="18"/>
        </w:rPr>
        <w:t>Figure 4.5: Frequency bar chart — percentage distribution by product category.</w:t>
      </w:r>
    </w:p>
    <w:p w14:paraId="639404D4" w14:textId="77777777" w:rsidR="00170D88" w:rsidRDefault="00170D88">
      <w:pPr>
        <w:spacing w:after="160"/>
      </w:pPr>
    </w:p>
    <w:p w14:paraId="408A1BEC" w14:textId="77777777" w:rsidR="00170D88" w:rsidRDefault="00000000">
      <w:pPr>
        <w:spacing w:before="120" w:after="60"/>
      </w:pPr>
      <w:proofErr w:type="gramStart"/>
      <w:r>
        <w:rPr>
          <w:b/>
          <w:bCs/>
          <w:color w:val="4472C4"/>
        </w:rPr>
        <w:t>4.2.2  Customer</w:t>
      </w:r>
      <w:proofErr w:type="gramEnd"/>
      <w:r>
        <w:rPr>
          <w:b/>
          <w:bCs/>
          <w:color w:val="4472C4"/>
        </w:rPr>
        <w:t xml:space="preserve"> Region</w:t>
      </w:r>
    </w:p>
    <w:p w14:paraId="0D5E090D" w14:textId="77777777" w:rsidR="00170D88" w:rsidRDefault="00000000">
      <w:pPr>
        <w:spacing w:before="60" w:after="60"/>
        <w:jc w:val="both"/>
      </w:pPr>
      <w:r>
        <w:t>The four customer regions are distributed with near-perfect uniformity: Asia (25.1%, 12,526 orders), North America (25.0%, 12,517), Middle East (25.0%, 12,505), and Europe (24.9%, 12,452). This balance makes cross-regional comparisons statistically reliable.</w:t>
      </w:r>
    </w:p>
    <w:p w14:paraId="6B8DE2CE" w14:textId="77777777" w:rsidR="00170D88" w:rsidRDefault="00170D88">
      <w:pPr>
        <w:spacing w:after="80"/>
      </w:pPr>
    </w:p>
    <w:p w14:paraId="3D42E3AF" w14:textId="77777777" w:rsidR="00170D88" w:rsidRDefault="00000000">
      <w:pPr>
        <w:spacing w:before="80" w:after="40"/>
        <w:jc w:val="center"/>
      </w:pPr>
      <w:r>
        <w:rPr>
          <w:noProof/>
        </w:rPr>
        <w:lastRenderedPageBreak/>
        <w:drawing>
          <wp:inline distT="0" distB="0" distL="0" distR="0" wp14:anchorId="788E922C" wp14:editId="108A88F0">
            <wp:extent cx="5667375" cy="2743200"/>
            <wp:effectExtent l="0" t="0" r="0" b="0"/>
            <wp:docPr id="1834093570" name="Picture 18340935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667375" cy="2743200"/>
                    </a:xfrm>
                    <a:prstGeom prst="rect">
                      <a:avLst/>
                    </a:prstGeom>
                  </pic:spPr>
                </pic:pic>
              </a:graphicData>
            </a:graphic>
          </wp:inline>
        </w:drawing>
      </w:r>
    </w:p>
    <w:p w14:paraId="4A258B50" w14:textId="77777777" w:rsidR="00170D88" w:rsidRDefault="00000000">
      <w:pPr>
        <w:spacing w:after="120"/>
        <w:jc w:val="center"/>
      </w:pPr>
      <w:r>
        <w:rPr>
          <w:i/>
          <w:iCs/>
          <w:color w:val="555555"/>
          <w:sz w:val="18"/>
          <w:szCs w:val="18"/>
        </w:rPr>
        <w:t>Figure 4.6: Count plot — order frequency by customer region.</w:t>
      </w:r>
    </w:p>
    <w:p w14:paraId="1D5E54A1" w14:textId="77777777" w:rsidR="00170D88" w:rsidRDefault="00170D88">
      <w:pPr>
        <w:spacing w:after="80"/>
      </w:pPr>
    </w:p>
    <w:p w14:paraId="46E172CA" w14:textId="77777777" w:rsidR="00170D88" w:rsidRDefault="00000000">
      <w:pPr>
        <w:spacing w:before="80" w:after="40"/>
        <w:jc w:val="center"/>
      </w:pPr>
      <w:r>
        <w:rPr>
          <w:noProof/>
        </w:rPr>
        <w:drawing>
          <wp:inline distT="0" distB="0" distL="0" distR="0" wp14:anchorId="2DB428D8" wp14:editId="738FAF25">
            <wp:extent cx="3838575" cy="4248150"/>
            <wp:effectExtent l="0" t="0" r="0" b="0"/>
            <wp:docPr id="216981417" name="Picture 2169814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3838575" cy="4248150"/>
                    </a:xfrm>
                    <a:prstGeom prst="rect">
                      <a:avLst/>
                    </a:prstGeom>
                  </pic:spPr>
                </pic:pic>
              </a:graphicData>
            </a:graphic>
          </wp:inline>
        </w:drawing>
      </w:r>
    </w:p>
    <w:p w14:paraId="51FD821A" w14:textId="77777777" w:rsidR="00170D88" w:rsidRDefault="00000000">
      <w:pPr>
        <w:spacing w:after="120"/>
        <w:jc w:val="center"/>
      </w:pPr>
      <w:r>
        <w:rPr>
          <w:i/>
          <w:iCs/>
          <w:color w:val="555555"/>
          <w:sz w:val="18"/>
          <w:szCs w:val="18"/>
        </w:rPr>
        <w:t>Figure 4.7: Pie chart — percentage share by customer region.</w:t>
      </w:r>
    </w:p>
    <w:p w14:paraId="05750DAB" w14:textId="77777777" w:rsidR="00170D88" w:rsidRDefault="00170D88">
      <w:pPr>
        <w:spacing w:after="80"/>
      </w:pPr>
    </w:p>
    <w:p w14:paraId="769A1403" w14:textId="77777777" w:rsidR="00170D88" w:rsidRDefault="00000000">
      <w:pPr>
        <w:spacing w:before="80" w:after="40"/>
        <w:jc w:val="center"/>
      </w:pPr>
      <w:r>
        <w:rPr>
          <w:noProof/>
        </w:rPr>
        <w:lastRenderedPageBreak/>
        <w:drawing>
          <wp:inline distT="0" distB="0" distL="0" distR="0" wp14:anchorId="6A3F25FC" wp14:editId="13A12504">
            <wp:extent cx="5667375" cy="2743200"/>
            <wp:effectExtent l="0" t="0" r="0" b="0"/>
            <wp:docPr id="861727391" name="Picture 8617273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667375" cy="2743200"/>
                    </a:xfrm>
                    <a:prstGeom prst="rect">
                      <a:avLst/>
                    </a:prstGeom>
                  </pic:spPr>
                </pic:pic>
              </a:graphicData>
            </a:graphic>
          </wp:inline>
        </w:drawing>
      </w:r>
    </w:p>
    <w:p w14:paraId="0FFEAE74" w14:textId="77777777" w:rsidR="00170D88" w:rsidRDefault="00000000">
      <w:pPr>
        <w:spacing w:after="120"/>
        <w:jc w:val="center"/>
      </w:pPr>
      <w:r>
        <w:rPr>
          <w:i/>
          <w:iCs/>
          <w:color w:val="555555"/>
          <w:sz w:val="18"/>
          <w:szCs w:val="18"/>
        </w:rPr>
        <w:t>Figure 4.8: Frequency bar chart — percentage distribution by customer region.</w:t>
      </w:r>
    </w:p>
    <w:p w14:paraId="38775941" w14:textId="77777777" w:rsidR="00170D88" w:rsidRDefault="00170D88">
      <w:pPr>
        <w:spacing w:after="160"/>
      </w:pPr>
    </w:p>
    <w:p w14:paraId="55A7E688" w14:textId="77777777" w:rsidR="00170D88" w:rsidRDefault="00000000">
      <w:pPr>
        <w:spacing w:before="120" w:after="60"/>
      </w:pPr>
      <w:proofErr w:type="gramStart"/>
      <w:r>
        <w:rPr>
          <w:b/>
          <w:bCs/>
          <w:color w:val="4472C4"/>
        </w:rPr>
        <w:t>4.2.3  Payment</w:t>
      </w:r>
      <w:proofErr w:type="gramEnd"/>
      <w:r>
        <w:rPr>
          <w:b/>
          <w:bCs/>
          <w:color w:val="4472C4"/>
        </w:rPr>
        <w:t xml:space="preserve"> Method</w:t>
      </w:r>
    </w:p>
    <w:p w14:paraId="2543DA08" w14:textId="77777777" w:rsidR="00170D88" w:rsidRDefault="00000000">
      <w:pPr>
        <w:spacing w:before="60" w:after="60"/>
        <w:jc w:val="both"/>
      </w:pPr>
      <w:r>
        <w:t>All five payment methods — Wallet (20.2%), UPI (20.2%), Debit Card (20.0%), Cash on Delivery (19.9%), and Credit Card (19.8%) — are used with near-identical frequency, reflecting a balanced multi-channel payment landscape with no dominant mode.</w:t>
      </w:r>
    </w:p>
    <w:p w14:paraId="37102A97" w14:textId="77777777" w:rsidR="00170D88" w:rsidRDefault="00170D88">
      <w:pPr>
        <w:spacing w:after="80"/>
      </w:pPr>
    </w:p>
    <w:p w14:paraId="023EB9DA" w14:textId="77777777" w:rsidR="00170D88" w:rsidRDefault="00000000">
      <w:pPr>
        <w:spacing w:before="80" w:after="40"/>
        <w:jc w:val="center"/>
      </w:pPr>
      <w:r>
        <w:rPr>
          <w:noProof/>
        </w:rPr>
        <w:drawing>
          <wp:inline distT="0" distB="0" distL="0" distR="0" wp14:anchorId="2815D695" wp14:editId="68D5DA95">
            <wp:extent cx="3838575" cy="4248150"/>
            <wp:effectExtent l="0" t="0" r="0" b="0"/>
            <wp:docPr id="1640048109" name="Picture 1640048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3838575" cy="4248150"/>
                    </a:xfrm>
                    <a:prstGeom prst="rect">
                      <a:avLst/>
                    </a:prstGeom>
                  </pic:spPr>
                </pic:pic>
              </a:graphicData>
            </a:graphic>
          </wp:inline>
        </w:drawing>
      </w:r>
    </w:p>
    <w:p w14:paraId="3B6C8F40" w14:textId="77777777" w:rsidR="00170D88" w:rsidRDefault="00000000">
      <w:pPr>
        <w:spacing w:after="120"/>
        <w:jc w:val="center"/>
      </w:pPr>
      <w:r>
        <w:rPr>
          <w:i/>
          <w:iCs/>
          <w:color w:val="555555"/>
          <w:sz w:val="18"/>
          <w:szCs w:val="18"/>
        </w:rPr>
        <w:t>Figure 4.9: Pie chart — percentage share by payment method.</w:t>
      </w:r>
    </w:p>
    <w:p w14:paraId="4EC066CA" w14:textId="77777777" w:rsidR="00170D88" w:rsidRDefault="00170D88">
      <w:pPr>
        <w:spacing w:after="80"/>
      </w:pPr>
    </w:p>
    <w:p w14:paraId="46342A60" w14:textId="77777777" w:rsidR="00170D88" w:rsidRDefault="00000000">
      <w:pPr>
        <w:spacing w:before="80" w:after="40"/>
        <w:jc w:val="center"/>
      </w:pPr>
      <w:r>
        <w:rPr>
          <w:noProof/>
        </w:rPr>
        <w:lastRenderedPageBreak/>
        <w:drawing>
          <wp:inline distT="0" distB="0" distL="0" distR="0" wp14:anchorId="6F2F78C4" wp14:editId="0B38F3F6">
            <wp:extent cx="5667375" cy="2743200"/>
            <wp:effectExtent l="0" t="0" r="0" b="0"/>
            <wp:docPr id="519522412" name="Picture 5195224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667375" cy="2743200"/>
                    </a:xfrm>
                    <a:prstGeom prst="rect">
                      <a:avLst/>
                    </a:prstGeom>
                  </pic:spPr>
                </pic:pic>
              </a:graphicData>
            </a:graphic>
          </wp:inline>
        </w:drawing>
      </w:r>
    </w:p>
    <w:p w14:paraId="5A4A7A4B" w14:textId="77777777" w:rsidR="00170D88" w:rsidRDefault="00000000">
      <w:pPr>
        <w:spacing w:after="120"/>
        <w:jc w:val="center"/>
      </w:pPr>
      <w:r>
        <w:rPr>
          <w:i/>
          <w:iCs/>
          <w:color w:val="555555"/>
          <w:sz w:val="18"/>
          <w:szCs w:val="18"/>
        </w:rPr>
        <w:t>Figure 4.10: Frequency bar chart — percentage distribution by payment method.</w:t>
      </w:r>
    </w:p>
    <w:p w14:paraId="76426BC8" w14:textId="77777777" w:rsidR="00170D88" w:rsidRDefault="00170D88">
      <w:pPr>
        <w:spacing w:after="160"/>
      </w:pPr>
    </w:p>
    <w:p w14:paraId="6D2DBE02" w14:textId="77777777" w:rsidR="00170D88" w:rsidRDefault="00000000">
      <w:pPr>
        <w:spacing w:before="120" w:after="60"/>
      </w:pPr>
      <w:proofErr w:type="gramStart"/>
      <w:r>
        <w:rPr>
          <w:b/>
          <w:bCs/>
          <w:color w:val="4472C4"/>
        </w:rPr>
        <w:t>4.2.4  Temporal</w:t>
      </w:r>
      <w:proofErr w:type="gramEnd"/>
      <w:r>
        <w:rPr>
          <w:b/>
          <w:bCs/>
          <w:color w:val="4472C4"/>
        </w:rPr>
        <w:t xml:space="preserve"> Variables — Day of Week and Month</w:t>
      </w:r>
    </w:p>
    <w:p w14:paraId="0EDF315D" w14:textId="77777777" w:rsidR="00170D88" w:rsidRDefault="00000000">
      <w:pPr>
        <w:spacing w:before="60" w:after="60"/>
        <w:jc w:val="both"/>
      </w:pPr>
      <w:r>
        <w:t xml:space="preserve">Orders are distributed across all seven days with minimal variation: Friday (7,317; 14.6%) is highest and Tuesday (7,054; 14.1%) lowest. Monthly volumes are broadly consistent — August and January lead (8.7% each) and February </w:t>
      </w:r>
      <w:proofErr w:type="gramStart"/>
      <w:r>
        <w:t>is</w:t>
      </w:r>
      <w:proofErr w:type="gramEnd"/>
      <w:r>
        <w:t xml:space="preserve"> lowest (7.5%), attributable to the shorter calendar month. The absence of sharp seasonal spikes reflects stable demand throughout the year.</w:t>
      </w:r>
    </w:p>
    <w:p w14:paraId="23758026" w14:textId="77777777" w:rsidR="00170D88" w:rsidRDefault="00170D88">
      <w:pPr>
        <w:spacing w:after="80"/>
      </w:pPr>
    </w:p>
    <w:p w14:paraId="6DC1F098" w14:textId="77777777" w:rsidR="00170D88" w:rsidRDefault="00000000">
      <w:pPr>
        <w:spacing w:before="80" w:after="40"/>
        <w:jc w:val="center"/>
      </w:pPr>
      <w:r>
        <w:rPr>
          <w:noProof/>
        </w:rPr>
        <w:drawing>
          <wp:inline distT="0" distB="0" distL="0" distR="0" wp14:anchorId="22F3E87B" wp14:editId="022A6E6F">
            <wp:extent cx="5667375" cy="2743200"/>
            <wp:effectExtent l="0" t="0" r="0" b="0"/>
            <wp:docPr id="1255753231" name="Picture 12557532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667375" cy="2743200"/>
                    </a:xfrm>
                    <a:prstGeom prst="rect">
                      <a:avLst/>
                    </a:prstGeom>
                  </pic:spPr>
                </pic:pic>
              </a:graphicData>
            </a:graphic>
          </wp:inline>
        </w:drawing>
      </w:r>
    </w:p>
    <w:p w14:paraId="4437D94D" w14:textId="77777777" w:rsidR="00170D88" w:rsidRDefault="00000000">
      <w:pPr>
        <w:spacing w:after="120"/>
        <w:jc w:val="center"/>
      </w:pPr>
      <w:r>
        <w:rPr>
          <w:i/>
          <w:iCs/>
          <w:color w:val="555555"/>
          <w:sz w:val="18"/>
          <w:szCs w:val="18"/>
        </w:rPr>
        <w:t>Figure 4.11: Count plot — order frequency by day of week.</w:t>
      </w:r>
    </w:p>
    <w:p w14:paraId="2D982FF9" w14:textId="77777777" w:rsidR="00170D88" w:rsidRDefault="00170D88">
      <w:pPr>
        <w:spacing w:after="80"/>
      </w:pPr>
    </w:p>
    <w:p w14:paraId="4275247F" w14:textId="77777777" w:rsidR="00170D88" w:rsidRDefault="00000000">
      <w:pPr>
        <w:spacing w:before="80" w:after="40"/>
        <w:jc w:val="center"/>
      </w:pPr>
      <w:r>
        <w:rPr>
          <w:noProof/>
        </w:rPr>
        <w:lastRenderedPageBreak/>
        <w:drawing>
          <wp:inline distT="0" distB="0" distL="0" distR="0" wp14:anchorId="30DB5132" wp14:editId="68C6BFD5">
            <wp:extent cx="3838575" cy="4248150"/>
            <wp:effectExtent l="0" t="0" r="0" b="0"/>
            <wp:docPr id="177731932" name="Picture 1777319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3838575" cy="4248150"/>
                    </a:xfrm>
                    <a:prstGeom prst="rect">
                      <a:avLst/>
                    </a:prstGeom>
                  </pic:spPr>
                </pic:pic>
              </a:graphicData>
            </a:graphic>
          </wp:inline>
        </w:drawing>
      </w:r>
    </w:p>
    <w:p w14:paraId="2305E917" w14:textId="77777777" w:rsidR="00170D88" w:rsidRDefault="00000000">
      <w:pPr>
        <w:spacing w:after="120"/>
        <w:jc w:val="center"/>
      </w:pPr>
      <w:r>
        <w:rPr>
          <w:i/>
          <w:iCs/>
          <w:color w:val="555555"/>
          <w:sz w:val="18"/>
          <w:szCs w:val="18"/>
        </w:rPr>
        <w:t>Figure 4.12: Pie chart — percentage share by day of week.</w:t>
      </w:r>
    </w:p>
    <w:p w14:paraId="34CBDFBD" w14:textId="77777777" w:rsidR="00170D88" w:rsidRDefault="00170D88">
      <w:pPr>
        <w:spacing w:after="80"/>
      </w:pPr>
    </w:p>
    <w:p w14:paraId="0C531AF9" w14:textId="77777777" w:rsidR="00170D88" w:rsidRDefault="00000000">
      <w:pPr>
        <w:spacing w:before="80" w:after="40"/>
        <w:jc w:val="center"/>
      </w:pPr>
      <w:r>
        <w:rPr>
          <w:noProof/>
        </w:rPr>
        <w:drawing>
          <wp:inline distT="0" distB="0" distL="0" distR="0" wp14:anchorId="2BBA48F7" wp14:editId="248DE581">
            <wp:extent cx="5667375" cy="2743200"/>
            <wp:effectExtent l="0" t="0" r="0" b="0"/>
            <wp:docPr id="2009883699" name="Picture 20098836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667375" cy="2743200"/>
                    </a:xfrm>
                    <a:prstGeom prst="rect">
                      <a:avLst/>
                    </a:prstGeom>
                  </pic:spPr>
                </pic:pic>
              </a:graphicData>
            </a:graphic>
          </wp:inline>
        </w:drawing>
      </w:r>
    </w:p>
    <w:p w14:paraId="6B3E769B" w14:textId="77777777" w:rsidR="00170D88" w:rsidRDefault="00000000">
      <w:pPr>
        <w:spacing w:after="120"/>
        <w:jc w:val="center"/>
      </w:pPr>
      <w:r>
        <w:rPr>
          <w:i/>
          <w:iCs/>
          <w:color w:val="555555"/>
          <w:sz w:val="18"/>
          <w:szCs w:val="18"/>
        </w:rPr>
        <w:t>Figure 4.13: Count plot — order frequency by month.</w:t>
      </w:r>
    </w:p>
    <w:p w14:paraId="56590255" w14:textId="77777777" w:rsidR="00170D88" w:rsidRDefault="00170D88">
      <w:pPr>
        <w:spacing w:after="80"/>
      </w:pPr>
    </w:p>
    <w:p w14:paraId="2FBB519E" w14:textId="77777777" w:rsidR="00170D88" w:rsidRDefault="00000000">
      <w:pPr>
        <w:spacing w:before="80" w:after="40"/>
        <w:jc w:val="center"/>
      </w:pPr>
      <w:r>
        <w:rPr>
          <w:noProof/>
        </w:rPr>
        <w:lastRenderedPageBreak/>
        <w:drawing>
          <wp:inline distT="0" distB="0" distL="0" distR="0" wp14:anchorId="72AA3B0F" wp14:editId="07A8AD4E">
            <wp:extent cx="5667375" cy="2743200"/>
            <wp:effectExtent l="0" t="0" r="0" b="0"/>
            <wp:docPr id="99228983" name="Picture 992289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5667375" cy="2743200"/>
                    </a:xfrm>
                    <a:prstGeom prst="rect">
                      <a:avLst/>
                    </a:prstGeom>
                  </pic:spPr>
                </pic:pic>
              </a:graphicData>
            </a:graphic>
          </wp:inline>
        </w:drawing>
      </w:r>
    </w:p>
    <w:p w14:paraId="4036F2F7" w14:textId="77777777" w:rsidR="00170D88" w:rsidRDefault="00000000">
      <w:pPr>
        <w:spacing w:after="120"/>
        <w:jc w:val="center"/>
      </w:pPr>
      <w:r>
        <w:rPr>
          <w:i/>
          <w:iCs/>
          <w:color w:val="555555"/>
          <w:sz w:val="18"/>
          <w:szCs w:val="18"/>
        </w:rPr>
        <w:t>Figure 4.14: Frequency bar chart — percentage distribution by month.</w:t>
      </w:r>
    </w:p>
    <w:p w14:paraId="1713BC09" w14:textId="77777777" w:rsidR="00170D88" w:rsidRDefault="00170D88">
      <w:pPr>
        <w:spacing w:after="80"/>
      </w:pPr>
    </w:p>
    <w:p w14:paraId="6B2151A0" w14:textId="77777777" w:rsidR="00170D88" w:rsidRDefault="00000000">
      <w:pPr>
        <w:spacing w:before="80" w:after="40"/>
        <w:jc w:val="center"/>
      </w:pPr>
      <w:r>
        <w:rPr>
          <w:noProof/>
        </w:rPr>
        <w:drawing>
          <wp:inline distT="0" distB="0" distL="0" distR="0" wp14:anchorId="6D0D50BD" wp14:editId="32DF66D6">
            <wp:extent cx="5667375" cy="2743200"/>
            <wp:effectExtent l="0" t="0" r="0" b="0"/>
            <wp:docPr id="178060586" name="Picture 1780605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5667375" cy="2743200"/>
                    </a:xfrm>
                    <a:prstGeom prst="rect">
                      <a:avLst/>
                    </a:prstGeom>
                  </pic:spPr>
                </pic:pic>
              </a:graphicData>
            </a:graphic>
          </wp:inline>
        </w:drawing>
      </w:r>
    </w:p>
    <w:p w14:paraId="78455557" w14:textId="77777777" w:rsidR="00170D88" w:rsidRDefault="00000000">
      <w:pPr>
        <w:spacing w:after="120"/>
        <w:jc w:val="center"/>
      </w:pPr>
      <w:r>
        <w:rPr>
          <w:i/>
          <w:iCs/>
          <w:color w:val="555555"/>
          <w:sz w:val="18"/>
          <w:szCs w:val="18"/>
        </w:rPr>
        <w:t>Figure 4.15: Frequency bar chart — percentage distribution by month (alternate view).</w:t>
      </w:r>
    </w:p>
    <w:p w14:paraId="16E7F24E" w14:textId="77777777" w:rsidR="00170D88" w:rsidRDefault="00170D88">
      <w:pPr>
        <w:spacing w:after="200"/>
      </w:pPr>
    </w:p>
    <w:p w14:paraId="5B474C03" w14:textId="77777777" w:rsidR="00170D88" w:rsidRDefault="00000000">
      <w:pPr>
        <w:shd w:val="clear" w:color="auto" w:fill="1B3A6B"/>
        <w:spacing w:before="240" w:after="120"/>
      </w:pPr>
      <w:r>
        <w:rPr>
          <w:b/>
          <w:bCs/>
          <w:color w:val="FFFFFF"/>
          <w:sz w:val="28"/>
          <w:szCs w:val="28"/>
        </w:rPr>
        <w:t>5.  Bivariate Analysis</w:t>
      </w:r>
    </w:p>
    <w:p w14:paraId="593BF956" w14:textId="77777777" w:rsidR="00170D88" w:rsidRDefault="00170D88">
      <w:pPr>
        <w:spacing w:after="80"/>
      </w:pPr>
    </w:p>
    <w:p w14:paraId="6CD947CF" w14:textId="77777777" w:rsidR="00170D88" w:rsidRDefault="00000000">
      <w:pPr>
        <w:spacing w:before="60" w:after="60"/>
        <w:jc w:val="both"/>
      </w:pPr>
      <w:r>
        <w:t>Bivariate analysis examines the relationship between pairs of variables to identify associations, patterns, and dependencies. The analysis was conducted using correlation heatmaps, scatter plots, box plots, mean bar plots, violin plots, and a pair plot — covering both numerical–numerical and numerical–categorical relationships.</w:t>
      </w:r>
    </w:p>
    <w:p w14:paraId="66A4BBCB" w14:textId="77777777" w:rsidR="00170D88" w:rsidRDefault="00170D88">
      <w:pPr>
        <w:spacing w:after="120"/>
      </w:pPr>
    </w:p>
    <w:p w14:paraId="58C554A7" w14:textId="77777777" w:rsidR="00170D88" w:rsidRDefault="00000000">
      <w:pPr>
        <w:pBdr>
          <w:bottom w:val="single" w:sz="4" w:space="1" w:color="2E75B6"/>
        </w:pBdr>
        <w:spacing w:before="180" w:after="80"/>
      </w:pPr>
      <w:proofErr w:type="gramStart"/>
      <w:r>
        <w:rPr>
          <w:b/>
          <w:bCs/>
          <w:color w:val="1B3A6B"/>
          <w:sz w:val="24"/>
          <w:szCs w:val="24"/>
        </w:rPr>
        <w:t>5.1  Correlation</w:t>
      </w:r>
      <w:proofErr w:type="gramEnd"/>
      <w:r>
        <w:rPr>
          <w:b/>
          <w:bCs/>
          <w:color w:val="1B3A6B"/>
          <w:sz w:val="24"/>
          <w:szCs w:val="24"/>
        </w:rPr>
        <w:t xml:space="preserve"> Matrix</w:t>
      </w:r>
    </w:p>
    <w:p w14:paraId="254D78D1" w14:textId="77777777" w:rsidR="00170D88" w:rsidRDefault="00000000">
      <w:pPr>
        <w:spacing w:before="60" w:after="60"/>
        <w:jc w:val="both"/>
      </w:pPr>
      <w:r>
        <w:t>The Pearson correlation heatmap provides a comprehensive overview of linear relationships among all numerical variables. Key findings are summarised below:</w:t>
      </w:r>
    </w:p>
    <w:p w14:paraId="28209DDA" w14:textId="77777777" w:rsidR="00170D88" w:rsidRDefault="00170D88">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900"/>
        <w:gridCol w:w="4926"/>
      </w:tblGrid>
      <w:tr w:rsidR="00170D88" w14:paraId="326E4D27"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06548951" w14:textId="77777777" w:rsidR="00170D88" w:rsidRDefault="00000000">
            <w:r>
              <w:rPr>
                <w:b/>
                <w:bCs/>
                <w:color w:val="FFFFFF"/>
                <w:sz w:val="20"/>
                <w:szCs w:val="20"/>
              </w:rPr>
              <w:t>Variable Pair</w:t>
            </w:r>
          </w:p>
        </w:tc>
        <w:tc>
          <w:tcPr>
            <w:tcW w:w="9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7424A916" w14:textId="77777777" w:rsidR="00170D88" w:rsidRDefault="00000000">
            <w:pPr>
              <w:jc w:val="center"/>
            </w:pPr>
            <w:r>
              <w:rPr>
                <w:b/>
                <w:bCs/>
                <w:color w:val="FFFFFF"/>
                <w:sz w:val="20"/>
                <w:szCs w:val="20"/>
              </w:rPr>
              <w:t>r</w:t>
            </w:r>
          </w:p>
        </w:tc>
        <w:tc>
          <w:tcPr>
            <w:tcW w:w="4926"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3D77A7D4" w14:textId="77777777" w:rsidR="00170D88" w:rsidRDefault="00000000">
            <w:r>
              <w:rPr>
                <w:b/>
                <w:bCs/>
                <w:color w:val="FFFFFF"/>
                <w:sz w:val="20"/>
                <w:szCs w:val="20"/>
              </w:rPr>
              <w:t>Interpretation</w:t>
            </w:r>
          </w:p>
        </w:tc>
      </w:tr>
      <w:tr w:rsidR="00170D88" w14:paraId="009ABBBB"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92A28A" w14:textId="77777777" w:rsidR="00170D88" w:rsidRDefault="00000000">
            <w:r>
              <w:rPr>
                <w:color w:val="1A1A2E"/>
                <w:sz w:val="20"/>
                <w:szCs w:val="20"/>
              </w:rPr>
              <w:lastRenderedPageBreak/>
              <w:t xml:space="preserve">price ↔ </w:t>
            </w:r>
            <w:proofErr w:type="spellStart"/>
            <w:r>
              <w:rPr>
                <w:color w:val="1A1A2E"/>
                <w:sz w:val="20"/>
                <w:szCs w:val="20"/>
              </w:rPr>
              <w:t>discounted_price</w:t>
            </w:r>
            <w:proofErr w:type="spellEnd"/>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726C03" w14:textId="77777777" w:rsidR="00170D88" w:rsidRDefault="00000000">
            <w:pPr>
              <w:jc w:val="center"/>
            </w:pPr>
            <w:r>
              <w:rPr>
                <w:color w:val="1A1A2E"/>
                <w:sz w:val="20"/>
                <w:szCs w:val="20"/>
              </w:rPr>
              <w:t>0.97</w:t>
            </w:r>
          </w:p>
        </w:tc>
        <w:tc>
          <w:tcPr>
            <w:tcW w:w="49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A68DCD" w14:textId="77777777" w:rsidR="00170D88" w:rsidRDefault="00000000">
            <w:r>
              <w:rPr>
                <w:color w:val="1A1A2E"/>
                <w:sz w:val="20"/>
                <w:szCs w:val="20"/>
              </w:rPr>
              <w:t>Very strong — mathematically linked (derived variable)</w:t>
            </w:r>
          </w:p>
        </w:tc>
      </w:tr>
      <w:tr w:rsidR="00170D88" w14:paraId="178A4A7A"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B20A8A2" w14:textId="77777777" w:rsidR="00170D88" w:rsidRDefault="00000000">
            <w:proofErr w:type="spellStart"/>
            <w:r>
              <w:rPr>
                <w:color w:val="1A1A2E"/>
                <w:sz w:val="20"/>
                <w:szCs w:val="20"/>
              </w:rPr>
              <w:t>discounted_price</w:t>
            </w:r>
            <w:proofErr w:type="spellEnd"/>
            <w:r>
              <w:rPr>
                <w:color w:val="1A1A2E"/>
                <w:sz w:val="20"/>
                <w:szCs w:val="20"/>
              </w:rPr>
              <w:t xml:space="preserve"> ↔ </w:t>
            </w:r>
            <w:proofErr w:type="spellStart"/>
            <w:r>
              <w:rPr>
                <w:color w:val="1A1A2E"/>
                <w:sz w:val="20"/>
                <w:szCs w:val="20"/>
              </w:rPr>
              <w:t>total_revenue</w:t>
            </w:r>
            <w:proofErr w:type="spellEnd"/>
          </w:p>
        </w:tc>
        <w:tc>
          <w:tcPr>
            <w:tcW w:w="9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3EF2356E" w14:textId="77777777" w:rsidR="00170D88" w:rsidRDefault="00000000">
            <w:pPr>
              <w:jc w:val="center"/>
            </w:pPr>
            <w:r>
              <w:rPr>
                <w:color w:val="1A1A2E"/>
                <w:sz w:val="20"/>
                <w:szCs w:val="20"/>
              </w:rPr>
              <w:t>0.73</w:t>
            </w:r>
          </w:p>
        </w:tc>
        <w:tc>
          <w:tcPr>
            <w:tcW w:w="4926"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6CF89573" w14:textId="77777777" w:rsidR="00170D88" w:rsidRDefault="00000000">
            <w:r>
              <w:rPr>
                <w:color w:val="1A1A2E"/>
                <w:sz w:val="20"/>
                <w:szCs w:val="20"/>
              </w:rPr>
              <w:t>Strong positive — effective price drives revenue</w:t>
            </w:r>
          </w:p>
        </w:tc>
      </w:tr>
      <w:tr w:rsidR="00170D88" w14:paraId="43636879"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57DACD" w14:textId="77777777" w:rsidR="00170D88" w:rsidRDefault="00000000">
            <w:r>
              <w:rPr>
                <w:color w:val="1A1A2E"/>
                <w:sz w:val="20"/>
                <w:szCs w:val="20"/>
              </w:rPr>
              <w:t xml:space="preserve">price ↔ </w:t>
            </w:r>
            <w:proofErr w:type="spellStart"/>
            <w:r>
              <w:rPr>
                <w:color w:val="1A1A2E"/>
                <w:sz w:val="20"/>
                <w:szCs w:val="20"/>
              </w:rPr>
              <w:t>total_revenue</w:t>
            </w:r>
            <w:proofErr w:type="spellEnd"/>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71B1F4" w14:textId="77777777" w:rsidR="00170D88" w:rsidRDefault="00000000">
            <w:pPr>
              <w:jc w:val="center"/>
            </w:pPr>
            <w:r>
              <w:rPr>
                <w:color w:val="1A1A2E"/>
                <w:sz w:val="20"/>
                <w:szCs w:val="20"/>
              </w:rPr>
              <w:t>0.71</w:t>
            </w:r>
          </w:p>
        </w:tc>
        <w:tc>
          <w:tcPr>
            <w:tcW w:w="49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C4C26C" w14:textId="77777777" w:rsidR="00170D88" w:rsidRDefault="00000000">
            <w:r>
              <w:rPr>
                <w:color w:val="1A1A2E"/>
                <w:sz w:val="20"/>
                <w:szCs w:val="20"/>
              </w:rPr>
              <w:t>Strong positive — higher price = higher revenue</w:t>
            </w:r>
          </w:p>
        </w:tc>
      </w:tr>
      <w:tr w:rsidR="00170D88" w14:paraId="31244E4B"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57ABCF7C" w14:textId="77777777" w:rsidR="00170D88" w:rsidRDefault="00000000">
            <w:proofErr w:type="spellStart"/>
            <w:r>
              <w:rPr>
                <w:color w:val="1A1A2E"/>
                <w:sz w:val="20"/>
                <w:szCs w:val="20"/>
              </w:rPr>
              <w:t>quantity_sold</w:t>
            </w:r>
            <w:proofErr w:type="spellEnd"/>
            <w:r>
              <w:rPr>
                <w:color w:val="1A1A2E"/>
                <w:sz w:val="20"/>
                <w:szCs w:val="20"/>
              </w:rPr>
              <w:t xml:space="preserve"> ↔ </w:t>
            </w:r>
            <w:proofErr w:type="spellStart"/>
            <w:r>
              <w:rPr>
                <w:color w:val="1A1A2E"/>
                <w:sz w:val="20"/>
                <w:szCs w:val="20"/>
              </w:rPr>
              <w:t>total_revenue</w:t>
            </w:r>
            <w:proofErr w:type="spellEnd"/>
          </w:p>
        </w:tc>
        <w:tc>
          <w:tcPr>
            <w:tcW w:w="9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7543A69A" w14:textId="77777777" w:rsidR="00170D88" w:rsidRDefault="00000000">
            <w:pPr>
              <w:jc w:val="center"/>
            </w:pPr>
            <w:r>
              <w:rPr>
                <w:color w:val="1A1A2E"/>
                <w:sz w:val="20"/>
                <w:szCs w:val="20"/>
              </w:rPr>
              <w:t>0.59</w:t>
            </w:r>
          </w:p>
        </w:tc>
        <w:tc>
          <w:tcPr>
            <w:tcW w:w="4926"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3F5B6AFD" w14:textId="77777777" w:rsidR="00170D88" w:rsidRDefault="00000000">
            <w:r>
              <w:rPr>
                <w:color w:val="1A1A2E"/>
                <w:sz w:val="20"/>
                <w:szCs w:val="20"/>
              </w:rPr>
              <w:t>Moderate positive — volume contributes to revenue</w:t>
            </w:r>
          </w:p>
        </w:tc>
      </w:tr>
      <w:tr w:rsidR="00170D88" w14:paraId="62A16883"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DC59AD" w14:textId="77777777" w:rsidR="00170D88" w:rsidRDefault="00000000">
            <w:proofErr w:type="spellStart"/>
            <w:r>
              <w:rPr>
                <w:color w:val="1A1A2E"/>
                <w:sz w:val="20"/>
                <w:szCs w:val="20"/>
              </w:rPr>
              <w:t>discount_percent</w:t>
            </w:r>
            <w:proofErr w:type="spellEnd"/>
            <w:r>
              <w:rPr>
                <w:color w:val="1A1A2E"/>
                <w:sz w:val="20"/>
                <w:szCs w:val="20"/>
              </w:rPr>
              <w:t xml:space="preserve"> ↔ </w:t>
            </w:r>
            <w:proofErr w:type="spellStart"/>
            <w:r>
              <w:rPr>
                <w:color w:val="1A1A2E"/>
                <w:sz w:val="20"/>
                <w:szCs w:val="20"/>
              </w:rPr>
              <w:t>discounted_price</w:t>
            </w:r>
            <w:proofErr w:type="spellEnd"/>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69382A" w14:textId="77777777" w:rsidR="00170D88" w:rsidRDefault="00000000">
            <w:pPr>
              <w:jc w:val="center"/>
            </w:pPr>
            <w:r>
              <w:rPr>
                <w:color w:val="1A1A2E"/>
                <w:sz w:val="20"/>
                <w:szCs w:val="20"/>
              </w:rPr>
              <w:t>-0.20</w:t>
            </w:r>
          </w:p>
        </w:tc>
        <w:tc>
          <w:tcPr>
            <w:tcW w:w="49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9C4F78" w14:textId="77777777" w:rsidR="00170D88" w:rsidRDefault="00000000">
            <w:r>
              <w:rPr>
                <w:color w:val="1A1A2E"/>
                <w:sz w:val="20"/>
                <w:szCs w:val="20"/>
              </w:rPr>
              <w:t>Weak negative — higher discount reduces effective price</w:t>
            </w:r>
          </w:p>
        </w:tc>
      </w:tr>
      <w:tr w:rsidR="00170D88" w14:paraId="49D2F747"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65335316" w14:textId="77777777" w:rsidR="00170D88" w:rsidRDefault="00000000">
            <w:proofErr w:type="spellStart"/>
            <w:r>
              <w:rPr>
                <w:color w:val="1A1A2E"/>
                <w:sz w:val="20"/>
                <w:szCs w:val="20"/>
              </w:rPr>
              <w:t>discount_percent</w:t>
            </w:r>
            <w:proofErr w:type="spellEnd"/>
            <w:r>
              <w:rPr>
                <w:color w:val="1A1A2E"/>
                <w:sz w:val="20"/>
                <w:szCs w:val="20"/>
              </w:rPr>
              <w:t xml:space="preserve"> ↔ </w:t>
            </w:r>
            <w:proofErr w:type="spellStart"/>
            <w:r>
              <w:rPr>
                <w:color w:val="1A1A2E"/>
                <w:sz w:val="20"/>
                <w:szCs w:val="20"/>
              </w:rPr>
              <w:t>total_revenue</w:t>
            </w:r>
            <w:proofErr w:type="spellEnd"/>
          </w:p>
        </w:tc>
        <w:tc>
          <w:tcPr>
            <w:tcW w:w="9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7D07699A" w14:textId="77777777" w:rsidR="00170D88" w:rsidRDefault="00000000">
            <w:pPr>
              <w:jc w:val="center"/>
            </w:pPr>
            <w:r>
              <w:rPr>
                <w:color w:val="1A1A2E"/>
                <w:sz w:val="20"/>
                <w:szCs w:val="20"/>
              </w:rPr>
              <w:t>-0.14</w:t>
            </w:r>
          </w:p>
        </w:tc>
        <w:tc>
          <w:tcPr>
            <w:tcW w:w="4926"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206B2764" w14:textId="77777777" w:rsidR="00170D88" w:rsidRDefault="00000000">
            <w:r>
              <w:rPr>
                <w:color w:val="1A1A2E"/>
                <w:sz w:val="20"/>
                <w:szCs w:val="20"/>
              </w:rPr>
              <w:t>Weak negative — deeper discounts slightly erode revenue</w:t>
            </w:r>
          </w:p>
        </w:tc>
      </w:tr>
      <w:tr w:rsidR="00170D88" w14:paraId="23018319"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65315D" w14:textId="77777777" w:rsidR="00170D88" w:rsidRDefault="00000000">
            <w:r>
              <w:rPr>
                <w:color w:val="1A1A2E"/>
                <w:sz w:val="20"/>
                <w:szCs w:val="20"/>
              </w:rPr>
              <w:t>rating ↔ any variable</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239D11" w14:textId="77777777" w:rsidR="00170D88" w:rsidRDefault="00000000">
            <w:pPr>
              <w:jc w:val="center"/>
            </w:pPr>
            <w:r>
              <w:rPr>
                <w:color w:val="1A1A2E"/>
                <w:sz w:val="20"/>
                <w:szCs w:val="20"/>
              </w:rPr>
              <w:t>≈ 0.00</w:t>
            </w:r>
          </w:p>
        </w:tc>
        <w:tc>
          <w:tcPr>
            <w:tcW w:w="49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4D7EAC" w14:textId="77777777" w:rsidR="00170D88" w:rsidRDefault="00000000">
            <w:r>
              <w:rPr>
                <w:color w:val="1A1A2E"/>
                <w:sz w:val="20"/>
                <w:szCs w:val="20"/>
              </w:rPr>
              <w:t>No linear relationship</w:t>
            </w:r>
          </w:p>
        </w:tc>
      </w:tr>
      <w:tr w:rsidR="00170D88" w14:paraId="71C74B27"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0C0F1E2B" w14:textId="77777777" w:rsidR="00170D88" w:rsidRDefault="00000000">
            <w:proofErr w:type="spellStart"/>
            <w:r>
              <w:rPr>
                <w:color w:val="1A1A2E"/>
                <w:sz w:val="20"/>
                <w:szCs w:val="20"/>
              </w:rPr>
              <w:t>review_count</w:t>
            </w:r>
            <w:proofErr w:type="spellEnd"/>
            <w:r>
              <w:rPr>
                <w:color w:val="1A1A2E"/>
                <w:sz w:val="20"/>
                <w:szCs w:val="20"/>
              </w:rPr>
              <w:t xml:space="preserve"> ↔ any variable</w:t>
            </w:r>
          </w:p>
        </w:tc>
        <w:tc>
          <w:tcPr>
            <w:tcW w:w="9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3B05010F" w14:textId="77777777" w:rsidR="00170D88" w:rsidRDefault="00000000">
            <w:pPr>
              <w:jc w:val="center"/>
            </w:pPr>
            <w:r>
              <w:rPr>
                <w:color w:val="1A1A2E"/>
                <w:sz w:val="20"/>
                <w:szCs w:val="20"/>
              </w:rPr>
              <w:t>≈ 0.00</w:t>
            </w:r>
          </w:p>
        </w:tc>
        <w:tc>
          <w:tcPr>
            <w:tcW w:w="4926"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A066115" w14:textId="77777777" w:rsidR="00170D88" w:rsidRDefault="00000000">
            <w:r>
              <w:rPr>
                <w:color w:val="1A1A2E"/>
                <w:sz w:val="20"/>
                <w:szCs w:val="20"/>
              </w:rPr>
              <w:t>No linear relationship</w:t>
            </w:r>
          </w:p>
        </w:tc>
      </w:tr>
    </w:tbl>
    <w:p w14:paraId="059AFFEC" w14:textId="77777777" w:rsidR="00170D88" w:rsidRDefault="00170D88">
      <w:pPr>
        <w:spacing w:after="120"/>
      </w:pPr>
    </w:p>
    <w:p w14:paraId="2658B1D0" w14:textId="77777777" w:rsidR="00170D88" w:rsidRDefault="00000000">
      <w:pPr>
        <w:spacing w:before="80" w:after="40"/>
        <w:jc w:val="center"/>
      </w:pPr>
      <w:r>
        <w:rPr>
          <w:noProof/>
        </w:rPr>
        <w:drawing>
          <wp:inline distT="0" distB="0" distL="0" distR="0" wp14:anchorId="3F78E31A" wp14:editId="1BAD419A">
            <wp:extent cx="5667375" cy="4086225"/>
            <wp:effectExtent l="0" t="0" r="0" b="0"/>
            <wp:docPr id="173063715" name="Picture 1730637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5667375" cy="4086225"/>
                    </a:xfrm>
                    <a:prstGeom prst="rect">
                      <a:avLst/>
                    </a:prstGeom>
                  </pic:spPr>
                </pic:pic>
              </a:graphicData>
            </a:graphic>
          </wp:inline>
        </w:drawing>
      </w:r>
    </w:p>
    <w:p w14:paraId="33AA516E" w14:textId="77777777" w:rsidR="00170D88" w:rsidRDefault="00000000">
      <w:pPr>
        <w:spacing w:after="120"/>
        <w:jc w:val="center"/>
      </w:pPr>
      <w:r>
        <w:rPr>
          <w:i/>
          <w:iCs/>
          <w:color w:val="555555"/>
          <w:sz w:val="18"/>
          <w:szCs w:val="18"/>
        </w:rPr>
        <w:t>Figure 5.1: Correlation matrix heatmap — Pearson r for all numerical variables.</w:t>
      </w:r>
    </w:p>
    <w:p w14:paraId="2802ACC6" w14:textId="77777777" w:rsidR="00170D88" w:rsidRDefault="00170D88">
      <w:pPr>
        <w:spacing w:after="80"/>
      </w:pPr>
    </w:p>
    <w:p w14:paraId="09AAEA2C" w14:textId="77777777" w:rsidR="00170D88" w:rsidRDefault="00000000">
      <w:pPr>
        <w:spacing w:before="60" w:after="60"/>
        <w:jc w:val="both"/>
      </w:pPr>
      <w:r>
        <w:t xml:space="preserve">The near-perfect correlation between price and </w:t>
      </w:r>
      <w:proofErr w:type="spellStart"/>
      <w:r>
        <w:t>discounted_price</w:t>
      </w:r>
      <w:proofErr w:type="spellEnd"/>
      <w:r>
        <w:t xml:space="preserve"> (r = 0.97) is expected since the latter is mathematically derived from the former. Both price (r = 0.71) and </w:t>
      </w:r>
      <w:proofErr w:type="spellStart"/>
      <w:r>
        <w:t>discounted_price</w:t>
      </w:r>
      <w:proofErr w:type="spellEnd"/>
      <w:r>
        <w:t xml:space="preserve"> (r = 0.73) show strong positive correlations with </w:t>
      </w:r>
      <w:proofErr w:type="spellStart"/>
      <w:r>
        <w:t>total_revenue</w:t>
      </w:r>
      <w:proofErr w:type="spellEnd"/>
      <w:r>
        <w:t xml:space="preserve">, establishing price as the primary revenue driver. </w:t>
      </w:r>
      <w:proofErr w:type="spellStart"/>
      <w:r>
        <w:t>quantity_sold</w:t>
      </w:r>
      <w:proofErr w:type="spellEnd"/>
      <w:r>
        <w:t xml:space="preserve"> contributes moderately (r = 0.59). </w:t>
      </w:r>
      <w:proofErr w:type="spellStart"/>
      <w:r>
        <w:t>discount_percent</w:t>
      </w:r>
      <w:proofErr w:type="spellEnd"/>
      <w:r>
        <w:t xml:space="preserve"> has a mild negative effect on revenue (r = -0.14), while rating and </w:t>
      </w:r>
      <w:proofErr w:type="spellStart"/>
      <w:r>
        <w:t>review_count</w:t>
      </w:r>
      <w:proofErr w:type="spellEnd"/>
      <w:r>
        <w:t xml:space="preserve"> show no meaningful linear relationship with any financial variable.</w:t>
      </w:r>
    </w:p>
    <w:p w14:paraId="7CE63CF9" w14:textId="77777777" w:rsidR="00170D88" w:rsidRDefault="00170D88">
      <w:pPr>
        <w:spacing w:after="160"/>
      </w:pPr>
    </w:p>
    <w:p w14:paraId="27BE15FE" w14:textId="77777777" w:rsidR="00170D88" w:rsidRDefault="00000000">
      <w:pPr>
        <w:pBdr>
          <w:bottom w:val="single" w:sz="4" w:space="1" w:color="2E75B6"/>
        </w:pBdr>
        <w:spacing w:before="180" w:after="80"/>
      </w:pPr>
      <w:proofErr w:type="gramStart"/>
      <w:r>
        <w:rPr>
          <w:b/>
          <w:bCs/>
          <w:color w:val="1B3A6B"/>
          <w:sz w:val="24"/>
          <w:szCs w:val="24"/>
        </w:rPr>
        <w:t>5.2  Scatter</w:t>
      </w:r>
      <w:proofErr w:type="gramEnd"/>
      <w:r>
        <w:rPr>
          <w:b/>
          <w:bCs/>
          <w:color w:val="1B3A6B"/>
          <w:sz w:val="24"/>
          <w:szCs w:val="24"/>
        </w:rPr>
        <w:t xml:space="preserve"> Plots — Numerical vs Numerical</w:t>
      </w:r>
    </w:p>
    <w:p w14:paraId="425E7CBA" w14:textId="77777777" w:rsidR="00170D88" w:rsidRDefault="00000000">
      <w:pPr>
        <w:spacing w:before="60" w:after="60"/>
        <w:jc w:val="both"/>
      </w:pPr>
      <w:r>
        <w:t>Scatter plots with trend lines were used to examine directional relationships between key variable pairs:</w:t>
      </w:r>
    </w:p>
    <w:p w14:paraId="3DE3C20A" w14:textId="77777777" w:rsidR="00170D88" w:rsidRDefault="00000000">
      <w:pPr>
        <w:pStyle w:val="ListParagraph"/>
        <w:numPr>
          <w:ilvl w:val="0"/>
          <w:numId w:val="2"/>
        </w:numPr>
        <w:spacing w:before="40" w:after="40"/>
      </w:pPr>
      <w:r>
        <w:lastRenderedPageBreak/>
        <w:t xml:space="preserve">price vs </w:t>
      </w:r>
      <w:proofErr w:type="spellStart"/>
      <w:r>
        <w:t>total_revenue</w:t>
      </w:r>
      <w:proofErr w:type="spellEnd"/>
      <w:r>
        <w:t xml:space="preserve"> (r = 0.71): A fan-shaped positive relationship with distinct revenue bands for each quantity tier (1–5), revealing the multiplicative structure of revenue generation.</w:t>
      </w:r>
    </w:p>
    <w:p w14:paraId="6597C4A2" w14:textId="77777777" w:rsidR="00170D88" w:rsidRDefault="00000000">
      <w:pPr>
        <w:pStyle w:val="ListParagraph"/>
        <w:numPr>
          <w:ilvl w:val="0"/>
          <w:numId w:val="2"/>
        </w:numPr>
        <w:spacing w:before="40" w:after="40"/>
      </w:pPr>
      <w:proofErr w:type="spellStart"/>
      <w:r>
        <w:t>quantity_sold</w:t>
      </w:r>
      <w:proofErr w:type="spellEnd"/>
      <w:r>
        <w:t xml:space="preserve"> vs </w:t>
      </w:r>
      <w:proofErr w:type="spellStart"/>
      <w:r>
        <w:t>total_revenue</w:t>
      </w:r>
      <w:proofErr w:type="spellEnd"/>
      <w:r>
        <w:t xml:space="preserve"> (r = 0.59): A step-wise positive pattern where revenue increases discretely with each additional unit sold.</w:t>
      </w:r>
    </w:p>
    <w:p w14:paraId="0A5F743D" w14:textId="77777777" w:rsidR="00170D88" w:rsidRDefault="00000000">
      <w:pPr>
        <w:pStyle w:val="ListParagraph"/>
        <w:numPr>
          <w:ilvl w:val="0"/>
          <w:numId w:val="2"/>
        </w:numPr>
        <w:spacing w:before="40" w:after="40"/>
      </w:pPr>
      <w:proofErr w:type="spellStart"/>
      <w:r>
        <w:t>discount_percent</w:t>
      </w:r>
      <w:proofErr w:type="spellEnd"/>
      <w:r>
        <w:t xml:space="preserve"> vs </w:t>
      </w:r>
      <w:proofErr w:type="spellStart"/>
      <w:r>
        <w:t>total_revenue</w:t>
      </w:r>
      <w:proofErr w:type="spellEnd"/>
      <w:r>
        <w:t xml:space="preserve"> (r = -0.14): Vertical clusters at each discrete discount tier with a gently downward trend, indicating marginal revenue erosion at higher discounts.</w:t>
      </w:r>
    </w:p>
    <w:p w14:paraId="0AFB0588" w14:textId="77777777" w:rsidR="00170D88" w:rsidRDefault="00000000">
      <w:pPr>
        <w:pStyle w:val="ListParagraph"/>
        <w:numPr>
          <w:ilvl w:val="0"/>
          <w:numId w:val="2"/>
        </w:numPr>
        <w:spacing w:before="40" w:after="40"/>
      </w:pPr>
      <w:r>
        <w:t xml:space="preserve">price vs rating (r = 0.01) and rating vs </w:t>
      </w:r>
      <w:proofErr w:type="spellStart"/>
      <w:r>
        <w:t>review_count</w:t>
      </w:r>
      <w:proofErr w:type="spellEnd"/>
      <w:r>
        <w:t xml:space="preserve"> (r = 0.00): Flat, diffuse scatters confirming statistical independence.</w:t>
      </w:r>
    </w:p>
    <w:p w14:paraId="5B0FDCD0" w14:textId="77777777" w:rsidR="00170D88" w:rsidRDefault="00170D88">
      <w:pPr>
        <w:spacing w:after="80"/>
      </w:pPr>
    </w:p>
    <w:p w14:paraId="0A97106D" w14:textId="77777777" w:rsidR="00170D88" w:rsidRDefault="00000000">
      <w:pPr>
        <w:spacing w:before="80" w:after="40"/>
        <w:jc w:val="center"/>
      </w:pPr>
      <w:r>
        <w:rPr>
          <w:noProof/>
        </w:rPr>
        <w:drawing>
          <wp:inline distT="0" distB="0" distL="0" distR="0" wp14:anchorId="60BA6CA9" wp14:editId="6AE786AE">
            <wp:extent cx="5486400" cy="5600700"/>
            <wp:effectExtent l="0" t="0" r="0" b="0"/>
            <wp:docPr id="1905715798" name="Picture 19057157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5486400" cy="5600700"/>
                    </a:xfrm>
                    <a:prstGeom prst="rect">
                      <a:avLst/>
                    </a:prstGeom>
                  </pic:spPr>
                </pic:pic>
              </a:graphicData>
            </a:graphic>
          </wp:inline>
        </w:drawing>
      </w:r>
    </w:p>
    <w:p w14:paraId="605DD88C" w14:textId="77777777" w:rsidR="00170D88" w:rsidRDefault="00000000">
      <w:pPr>
        <w:spacing w:after="120"/>
        <w:jc w:val="center"/>
      </w:pPr>
      <w:r>
        <w:rPr>
          <w:i/>
          <w:iCs/>
          <w:color w:val="555555"/>
          <w:sz w:val="18"/>
          <w:szCs w:val="18"/>
        </w:rPr>
        <w:t>Figure 5.2: Scatter plots with trend lines for six key variable pairs.</w:t>
      </w:r>
    </w:p>
    <w:p w14:paraId="0B49607C" w14:textId="77777777" w:rsidR="00170D88" w:rsidRDefault="00170D88">
      <w:pPr>
        <w:spacing w:after="160"/>
      </w:pPr>
    </w:p>
    <w:p w14:paraId="19071E8F" w14:textId="77777777" w:rsidR="00170D88" w:rsidRDefault="00000000">
      <w:pPr>
        <w:pBdr>
          <w:bottom w:val="single" w:sz="4" w:space="1" w:color="2E75B6"/>
        </w:pBdr>
        <w:spacing w:before="180" w:after="80"/>
      </w:pPr>
      <w:proofErr w:type="gramStart"/>
      <w:r>
        <w:rPr>
          <w:b/>
          <w:bCs/>
          <w:color w:val="1B3A6B"/>
          <w:sz w:val="24"/>
          <w:szCs w:val="24"/>
        </w:rPr>
        <w:t>5.3  Box</w:t>
      </w:r>
      <w:proofErr w:type="gramEnd"/>
      <w:r>
        <w:rPr>
          <w:b/>
          <w:bCs/>
          <w:color w:val="1B3A6B"/>
          <w:sz w:val="24"/>
          <w:szCs w:val="24"/>
        </w:rPr>
        <w:t xml:space="preserve"> Plots — Numerical vs Categorical</w:t>
      </w:r>
    </w:p>
    <w:p w14:paraId="412C1F8D" w14:textId="77777777" w:rsidR="00170D88" w:rsidRDefault="00000000">
      <w:pPr>
        <w:spacing w:before="60" w:after="60"/>
        <w:jc w:val="both"/>
      </w:pPr>
      <w:r>
        <w:t>Box plots compared numerical variable distributions across categorical groups:</w:t>
      </w:r>
    </w:p>
    <w:p w14:paraId="54C348A0" w14:textId="77777777" w:rsidR="00170D88" w:rsidRDefault="00000000">
      <w:pPr>
        <w:pStyle w:val="ListParagraph"/>
        <w:numPr>
          <w:ilvl w:val="0"/>
          <w:numId w:val="2"/>
        </w:numPr>
        <w:spacing w:before="40" w:after="40"/>
      </w:pPr>
      <w:r>
        <w:t>Total Revenue by Product Category: Median revenues (~500) and IQRs are nearly identical across all six categories, with uniformly distributed high-value outliers.</w:t>
      </w:r>
    </w:p>
    <w:p w14:paraId="62C60B3F" w14:textId="77777777" w:rsidR="00170D88" w:rsidRDefault="00000000">
      <w:pPr>
        <w:pStyle w:val="ListParagraph"/>
        <w:numPr>
          <w:ilvl w:val="0"/>
          <w:numId w:val="2"/>
        </w:numPr>
        <w:spacing w:before="40" w:after="40"/>
      </w:pPr>
      <w:r>
        <w:t>Rating by Product Category: Consistent median of 3.0 and identical IQR (~2.0–4.0) across all categories.</w:t>
      </w:r>
    </w:p>
    <w:p w14:paraId="62AA6A05" w14:textId="77777777" w:rsidR="00170D88" w:rsidRDefault="00000000">
      <w:pPr>
        <w:pStyle w:val="ListParagraph"/>
        <w:numPr>
          <w:ilvl w:val="0"/>
          <w:numId w:val="2"/>
        </w:numPr>
        <w:spacing w:before="40" w:after="40"/>
      </w:pPr>
      <w:r>
        <w:lastRenderedPageBreak/>
        <w:t>Discount Percent by Category: Books and Fashion show higher median discounts (~15–20%), while Beauty and Electronics show lower medians (~10%).</w:t>
      </w:r>
    </w:p>
    <w:p w14:paraId="3EB21E81" w14:textId="77777777" w:rsidR="00170D88" w:rsidRDefault="00000000">
      <w:pPr>
        <w:pStyle w:val="ListParagraph"/>
        <w:numPr>
          <w:ilvl w:val="0"/>
          <w:numId w:val="2"/>
        </w:numPr>
        <w:spacing w:before="40" w:after="40"/>
      </w:pPr>
      <w:r>
        <w:t>Total Revenue and Price by Region: Near-identical distributions across all four regions confirm the absence of geographic pricing differences.</w:t>
      </w:r>
    </w:p>
    <w:p w14:paraId="524908CA" w14:textId="77777777" w:rsidR="00170D88" w:rsidRDefault="00000000">
      <w:pPr>
        <w:pStyle w:val="ListParagraph"/>
        <w:numPr>
          <w:ilvl w:val="0"/>
          <w:numId w:val="2"/>
        </w:numPr>
        <w:spacing w:before="40" w:after="40"/>
      </w:pPr>
      <w:r>
        <w:t>Rating by Payment Method: All five methods show identical median ratings of 3.0 — payment choice has no bearing on satisfaction.</w:t>
      </w:r>
    </w:p>
    <w:p w14:paraId="56E303A0" w14:textId="77777777" w:rsidR="00170D88" w:rsidRDefault="00170D88">
      <w:pPr>
        <w:spacing w:after="80"/>
      </w:pPr>
    </w:p>
    <w:p w14:paraId="5E0EED96" w14:textId="77777777" w:rsidR="00170D88" w:rsidRDefault="00000000">
      <w:pPr>
        <w:spacing w:before="80" w:after="40"/>
        <w:jc w:val="center"/>
      </w:pPr>
      <w:r>
        <w:rPr>
          <w:noProof/>
        </w:rPr>
        <w:drawing>
          <wp:inline distT="0" distB="0" distL="0" distR="0" wp14:anchorId="4F26A1A5" wp14:editId="18140817">
            <wp:extent cx="5486400" cy="5600700"/>
            <wp:effectExtent l="0" t="0" r="0" b="0"/>
            <wp:docPr id="1392815703" name="Picture 13928157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5486400" cy="5600700"/>
                    </a:xfrm>
                    <a:prstGeom prst="rect">
                      <a:avLst/>
                    </a:prstGeom>
                  </pic:spPr>
                </pic:pic>
              </a:graphicData>
            </a:graphic>
          </wp:inline>
        </w:drawing>
      </w:r>
    </w:p>
    <w:p w14:paraId="7DBD72DF" w14:textId="77777777" w:rsidR="00170D88" w:rsidRDefault="00000000">
      <w:pPr>
        <w:spacing w:after="120"/>
        <w:jc w:val="center"/>
      </w:pPr>
      <w:r>
        <w:rPr>
          <w:i/>
          <w:iCs/>
          <w:color w:val="555555"/>
          <w:sz w:val="18"/>
          <w:szCs w:val="18"/>
        </w:rPr>
        <w:t>Figure 5.3: Box plots — numerical variables segmented by categorical variables.</w:t>
      </w:r>
    </w:p>
    <w:p w14:paraId="67ECDDFB" w14:textId="77777777" w:rsidR="00170D88" w:rsidRDefault="00170D88">
      <w:pPr>
        <w:spacing w:after="160"/>
      </w:pPr>
    </w:p>
    <w:p w14:paraId="050CC186" w14:textId="77777777" w:rsidR="00170D88" w:rsidRDefault="00000000">
      <w:pPr>
        <w:pBdr>
          <w:bottom w:val="single" w:sz="4" w:space="1" w:color="2E75B6"/>
        </w:pBdr>
        <w:spacing w:before="180" w:after="80"/>
      </w:pPr>
      <w:proofErr w:type="gramStart"/>
      <w:r>
        <w:rPr>
          <w:b/>
          <w:bCs/>
          <w:color w:val="1B3A6B"/>
          <w:sz w:val="24"/>
          <w:szCs w:val="24"/>
        </w:rPr>
        <w:t>5.4  Mean</w:t>
      </w:r>
      <w:proofErr w:type="gramEnd"/>
      <w:r>
        <w:rPr>
          <w:b/>
          <w:bCs/>
          <w:color w:val="1B3A6B"/>
          <w:sz w:val="24"/>
          <w:szCs w:val="24"/>
        </w:rPr>
        <w:t xml:space="preserve"> Bar Plots — Numerical by Category</w:t>
      </w:r>
    </w:p>
    <w:p w14:paraId="5568F544" w14:textId="77777777" w:rsidR="00170D88" w:rsidRDefault="00000000">
      <w:pPr>
        <w:spacing w:before="60" w:after="60"/>
        <w:jc w:val="both"/>
      </w:pPr>
      <w:r>
        <w:t>Mean bar plots summarise average values across categorical groups:</w:t>
      </w:r>
    </w:p>
    <w:p w14:paraId="36960566" w14:textId="77777777" w:rsidR="00170D88" w:rsidRDefault="00000000">
      <w:pPr>
        <w:pStyle w:val="ListParagraph"/>
        <w:numPr>
          <w:ilvl w:val="0"/>
          <w:numId w:val="2"/>
        </w:numPr>
        <w:spacing w:before="40" w:after="40"/>
      </w:pPr>
      <w:r>
        <w:t xml:space="preserve">Mean </w:t>
      </w:r>
      <w:proofErr w:type="spellStart"/>
      <w:r>
        <w:t>total_revenue</w:t>
      </w:r>
      <w:proofErr w:type="spellEnd"/>
      <w:r>
        <w:t xml:space="preserve"> by product category: Home &amp; Kitchen leads (662.8) and Sports is lowest (654.2) — a range of less than 9, indicating category-neutral performance.</w:t>
      </w:r>
    </w:p>
    <w:p w14:paraId="3459EFC6" w14:textId="77777777" w:rsidR="00170D88" w:rsidRDefault="00000000">
      <w:pPr>
        <w:pStyle w:val="ListParagraph"/>
        <w:numPr>
          <w:ilvl w:val="0"/>
          <w:numId w:val="2"/>
        </w:numPr>
        <w:spacing w:before="40" w:after="40"/>
      </w:pPr>
      <w:r>
        <w:t>Mean rating by product category: All categories record an identical mean of 3.0.</w:t>
      </w:r>
    </w:p>
    <w:p w14:paraId="795050F9" w14:textId="77777777" w:rsidR="00170D88" w:rsidRDefault="00000000">
      <w:pPr>
        <w:pStyle w:val="ListParagraph"/>
        <w:numPr>
          <w:ilvl w:val="0"/>
          <w:numId w:val="2"/>
        </w:numPr>
        <w:spacing w:before="40" w:after="40"/>
      </w:pPr>
      <w:r>
        <w:t xml:space="preserve">Mean </w:t>
      </w:r>
      <w:proofErr w:type="spellStart"/>
      <w:r>
        <w:t>quantity_sold</w:t>
      </w:r>
      <w:proofErr w:type="spellEnd"/>
      <w:r>
        <w:t xml:space="preserve"> by region: All four regions record an identical mean of 3.0 units.</w:t>
      </w:r>
    </w:p>
    <w:p w14:paraId="193F5CB1" w14:textId="77777777" w:rsidR="00170D88" w:rsidRDefault="00000000">
      <w:pPr>
        <w:pStyle w:val="ListParagraph"/>
        <w:numPr>
          <w:ilvl w:val="0"/>
          <w:numId w:val="2"/>
        </w:numPr>
        <w:spacing w:before="40" w:after="40"/>
      </w:pPr>
      <w:r>
        <w:t xml:space="preserve">Mean </w:t>
      </w:r>
      <w:proofErr w:type="spellStart"/>
      <w:r>
        <w:t>total_revenue</w:t>
      </w:r>
      <w:proofErr w:type="spellEnd"/>
      <w:r>
        <w:t xml:space="preserve"> by region: Middle East (663.9) to Europe (651.5) — a difference of 12.4, which is negligible.</w:t>
      </w:r>
    </w:p>
    <w:p w14:paraId="2ED3AC12" w14:textId="77777777" w:rsidR="00170D88" w:rsidRDefault="00000000">
      <w:pPr>
        <w:pStyle w:val="ListParagraph"/>
        <w:numPr>
          <w:ilvl w:val="0"/>
          <w:numId w:val="2"/>
        </w:numPr>
        <w:spacing w:before="40" w:after="40"/>
      </w:pPr>
      <w:r>
        <w:t xml:space="preserve">Mean </w:t>
      </w:r>
      <w:proofErr w:type="spellStart"/>
      <w:r>
        <w:t>discount_percent</w:t>
      </w:r>
      <w:proofErr w:type="spellEnd"/>
      <w:r>
        <w:t xml:space="preserve"> by payment method: Ranges from 13.2% (UPI) to 13.4% (</w:t>
      </w:r>
      <w:proofErr w:type="spellStart"/>
      <w:r>
        <w:t>CoD</w:t>
      </w:r>
      <w:proofErr w:type="spellEnd"/>
      <w:r>
        <w:t>) — a 0.2 percentage point spread.</w:t>
      </w:r>
    </w:p>
    <w:p w14:paraId="097D0A1B" w14:textId="77777777" w:rsidR="00170D88" w:rsidRDefault="00000000">
      <w:pPr>
        <w:pStyle w:val="ListParagraph"/>
        <w:numPr>
          <w:ilvl w:val="0"/>
          <w:numId w:val="2"/>
        </w:numPr>
        <w:spacing w:before="40" w:after="40"/>
      </w:pPr>
      <w:r>
        <w:lastRenderedPageBreak/>
        <w:t xml:space="preserve">Mean </w:t>
      </w:r>
      <w:proofErr w:type="spellStart"/>
      <w:r>
        <w:t>total_revenue</w:t>
      </w:r>
      <w:proofErr w:type="spellEnd"/>
      <w:r>
        <w:t xml:space="preserve"> by payment method: Wallet (660.9) to UPI (652.9) — an 8-unit gap with no practical significance.</w:t>
      </w:r>
    </w:p>
    <w:p w14:paraId="1CF95FF0" w14:textId="77777777" w:rsidR="00170D88" w:rsidRDefault="00170D88">
      <w:pPr>
        <w:spacing w:after="80"/>
      </w:pPr>
    </w:p>
    <w:p w14:paraId="25E24185" w14:textId="77777777" w:rsidR="00170D88" w:rsidRDefault="00000000">
      <w:pPr>
        <w:spacing w:before="80" w:after="40"/>
        <w:jc w:val="center"/>
      </w:pPr>
      <w:r>
        <w:rPr>
          <w:noProof/>
        </w:rPr>
        <w:drawing>
          <wp:inline distT="0" distB="0" distL="0" distR="0" wp14:anchorId="53872954" wp14:editId="03496698">
            <wp:extent cx="5667375" cy="5086350"/>
            <wp:effectExtent l="0" t="0" r="0" b="0"/>
            <wp:docPr id="326123113" name="Picture 326123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5667375" cy="5086350"/>
                    </a:xfrm>
                    <a:prstGeom prst="rect">
                      <a:avLst/>
                    </a:prstGeom>
                  </pic:spPr>
                </pic:pic>
              </a:graphicData>
            </a:graphic>
          </wp:inline>
        </w:drawing>
      </w:r>
    </w:p>
    <w:p w14:paraId="73F86228" w14:textId="77777777" w:rsidR="00170D88" w:rsidRDefault="00000000">
      <w:pPr>
        <w:spacing w:after="120"/>
        <w:jc w:val="center"/>
      </w:pPr>
      <w:r>
        <w:rPr>
          <w:i/>
          <w:iCs/>
          <w:color w:val="555555"/>
          <w:sz w:val="18"/>
          <w:szCs w:val="18"/>
        </w:rPr>
        <w:t>Figure 5.4: Mean bar plots — average values of key numerical variables by categorical groups.</w:t>
      </w:r>
    </w:p>
    <w:p w14:paraId="1ADA8661" w14:textId="77777777" w:rsidR="00170D88" w:rsidRDefault="00170D88">
      <w:pPr>
        <w:spacing w:after="160"/>
      </w:pPr>
    </w:p>
    <w:p w14:paraId="4C61F5CE" w14:textId="77777777" w:rsidR="00170D88" w:rsidRDefault="00000000">
      <w:pPr>
        <w:pBdr>
          <w:bottom w:val="single" w:sz="4" w:space="1" w:color="2E75B6"/>
        </w:pBdr>
        <w:spacing w:before="180" w:after="80"/>
      </w:pPr>
      <w:proofErr w:type="gramStart"/>
      <w:r>
        <w:rPr>
          <w:b/>
          <w:bCs/>
          <w:color w:val="1B3A6B"/>
          <w:sz w:val="24"/>
          <w:szCs w:val="24"/>
        </w:rPr>
        <w:t>5.5  Violin</w:t>
      </w:r>
      <w:proofErr w:type="gramEnd"/>
      <w:r>
        <w:rPr>
          <w:b/>
          <w:bCs/>
          <w:color w:val="1B3A6B"/>
          <w:sz w:val="24"/>
          <w:szCs w:val="24"/>
        </w:rPr>
        <w:t xml:space="preserve"> Plots — Distribution by Category</w:t>
      </w:r>
    </w:p>
    <w:p w14:paraId="651FAD03" w14:textId="77777777" w:rsidR="00170D88" w:rsidRDefault="00000000">
      <w:pPr>
        <w:spacing w:before="60" w:after="60"/>
        <w:jc w:val="both"/>
      </w:pPr>
      <w:r>
        <w:t>Violin plots reveal distributional shape and density across categories. Rating across all six product categories produces identical symmetric violin shapes centred at 3.0. Total revenue distributions across all four regions are similarly shaped — dense near 0–500 with long right tails toward 2,500. Price distributions across all five payment methods are uniformly wide, confirming price-independent payment preferences.</w:t>
      </w:r>
    </w:p>
    <w:p w14:paraId="0B3D2961" w14:textId="77777777" w:rsidR="00170D88" w:rsidRDefault="00170D88">
      <w:pPr>
        <w:spacing w:after="80"/>
      </w:pPr>
    </w:p>
    <w:p w14:paraId="4469272F" w14:textId="77777777" w:rsidR="00170D88" w:rsidRDefault="00000000">
      <w:pPr>
        <w:spacing w:before="80" w:after="40"/>
        <w:jc w:val="center"/>
      </w:pPr>
      <w:r>
        <w:rPr>
          <w:noProof/>
        </w:rPr>
        <w:lastRenderedPageBreak/>
        <w:drawing>
          <wp:inline distT="0" distB="0" distL="0" distR="0" wp14:anchorId="31F177FD" wp14:editId="1794E32E">
            <wp:extent cx="6219825" cy="2152650"/>
            <wp:effectExtent l="0" t="0" r="0" b="0"/>
            <wp:docPr id="581087943" name="Picture 5810879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6219825" cy="2152650"/>
                    </a:xfrm>
                    <a:prstGeom prst="rect">
                      <a:avLst/>
                    </a:prstGeom>
                  </pic:spPr>
                </pic:pic>
              </a:graphicData>
            </a:graphic>
          </wp:inline>
        </w:drawing>
      </w:r>
    </w:p>
    <w:p w14:paraId="111111B7" w14:textId="77777777" w:rsidR="00170D88" w:rsidRDefault="00000000">
      <w:pPr>
        <w:spacing w:after="120"/>
        <w:jc w:val="center"/>
      </w:pPr>
      <w:r>
        <w:rPr>
          <w:i/>
          <w:iCs/>
          <w:color w:val="555555"/>
          <w:sz w:val="18"/>
          <w:szCs w:val="18"/>
        </w:rPr>
        <w:t>Figure 5.5: Violin plots — rating by product category, total revenue by region, price by payment method.</w:t>
      </w:r>
    </w:p>
    <w:p w14:paraId="56E15293" w14:textId="77777777" w:rsidR="00170D88" w:rsidRDefault="00170D88">
      <w:pPr>
        <w:spacing w:after="160"/>
      </w:pPr>
    </w:p>
    <w:p w14:paraId="1D29BAFB" w14:textId="77777777" w:rsidR="00170D88" w:rsidRDefault="00000000">
      <w:pPr>
        <w:pBdr>
          <w:bottom w:val="single" w:sz="4" w:space="1" w:color="2E75B6"/>
        </w:pBdr>
        <w:spacing w:before="180" w:after="80"/>
      </w:pPr>
      <w:proofErr w:type="gramStart"/>
      <w:r>
        <w:rPr>
          <w:b/>
          <w:bCs/>
          <w:color w:val="1B3A6B"/>
          <w:sz w:val="24"/>
          <w:szCs w:val="24"/>
        </w:rPr>
        <w:t>5.6  Pair</w:t>
      </w:r>
      <w:proofErr w:type="gramEnd"/>
      <w:r>
        <w:rPr>
          <w:b/>
          <w:bCs/>
          <w:color w:val="1B3A6B"/>
          <w:sz w:val="24"/>
          <w:szCs w:val="24"/>
        </w:rPr>
        <w:t xml:space="preserve"> Plot — Numerical Variables</w:t>
      </w:r>
    </w:p>
    <w:p w14:paraId="64F6E009" w14:textId="77777777" w:rsidR="00170D88" w:rsidRDefault="00000000">
      <w:pPr>
        <w:spacing w:before="60" w:after="60"/>
        <w:jc w:val="both"/>
      </w:pPr>
      <w:r>
        <w:t>The pair plot presents pairwise scatter plots and diagonal KDE distributions for five key numerical variables:</w:t>
      </w:r>
    </w:p>
    <w:p w14:paraId="6DFDA397" w14:textId="77777777" w:rsidR="00170D88" w:rsidRDefault="00000000">
      <w:pPr>
        <w:pStyle w:val="ListParagraph"/>
        <w:numPr>
          <w:ilvl w:val="0"/>
          <w:numId w:val="2"/>
        </w:numPr>
        <w:spacing w:before="40" w:after="40"/>
      </w:pPr>
      <w:r>
        <w:t xml:space="preserve">price vs </w:t>
      </w:r>
      <w:proofErr w:type="spellStart"/>
      <w:r>
        <w:t>total_revenue</w:t>
      </w:r>
      <w:proofErr w:type="spellEnd"/>
      <w:r>
        <w:t>: Strong fan-shaped positive relationship with distinct revenue bands per quantity tier.</w:t>
      </w:r>
    </w:p>
    <w:p w14:paraId="3679CE65" w14:textId="77777777" w:rsidR="00170D88" w:rsidRDefault="00000000">
      <w:pPr>
        <w:pStyle w:val="ListParagraph"/>
        <w:numPr>
          <w:ilvl w:val="0"/>
          <w:numId w:val="2"/>
        </w:numPr>
        <w:spacing w:before="40" w:after="40"/>
      </w:pPr>
      <w:proofErr w:type="spellStart"/>
      <w:r>
        <w:t>quantity_sold</w:t>
      </w:r>
      <w:proofErr w:type="spellEnd"/>
      <w:r>
        <w:t xml:space="preserve"> vs </w:t>
      </w:r>
      <w:proofErr w:type="spellStart"/>
      <w:r>
        <w:t>total_revenue</w:t>
      </w:r>
      <w:proofErr w:type="spellEnd"/>
      <w:r>
        <w:t>: Clear horizontal step-bands confirming discrete multiplicative revenue contribution.</w:t>
      </w:r>
    </w:p>
    <w:p w14:paraId="79EFB9F3" w14:textId="77777777" w:rsidR="00170D88" w:rsidRDefault="00000000">
      <w:pPr>
        <w:pStyle w:val="ListParagraph"/>
        <w:numPr>
          <w:ilvl w:val="0"/>
          <w:numId w:val="2"/>
        </w:numPr>
        <w:spacing w:before="40" w:after="40"/>
      </w:pPr>
      <w:proofErr w:type="spellStart"/>
      <w:r>
        <w:t>Discount_percent</w:t>
      </w:r>
      <w:proofErr w:type="spellEnd"/>
      <w:r>
        <w:t xml:space="preserve"> and rating panels: Grid-like or diffuse clouds with flat trends across all pairings.</w:t>
      </w:r>
    </w:p>
    <w:p w14:paraId="7CBDA77E" w14:textId="77777777" w:rsidR="00170D88" w:rsidRDefault="00000000">
      <w:pPr>
        <w:pStyle w:val="ListParagraph"/>
        <w:numPr>
          <w:ilvl w:val="0"/>
          <w:numId w:val="2"/>
        </w:numPr>
        <w:spacing w:before="40" w:after="40"/>
      </w:pPr>
      <w:r>
        <w:t xml:space="preserve">Diagonal KDE plots: price — near-uniform; </w:t>
      </w:r>
      <w:proofErr w:type="spellStart"/>
      <w:r>
        <w:t>discount_percent</w:t>
      </w:r>
      <w:proofErr w:type="spellEnd"/>
      <w:r>
        <w:t xml:space="preserve"> — multi-modal; </w:t>
      </w:r>
      <w:proofErr w:type="spellStart"/>
      <w:r>
        <w:t>quantity_sold</w:t>
      </w:r>
      <w:proofErr w:type="spellEnd"/>
      <w:r>
        <w:t xml:space="preserve"> — five equidistant peaks; </w:t>
      </w:r>
      <w:proofErr w:type="spellStart"/>
      <w:r>
        <w:t>total_revenue</w:t>
      </w:r>
      <w:proofErr w:type="spellEnd"/>
      <w:r>
        <w:t xml:space="preserve"> — right-skewed; rating — approximately uniform.</w:t>
      </w:r>
    </w:p>
    <w:p w14:paraId="12CF95AC" w14:textId="77777777" w:rsidR="00170D88" w:rsidRDefault="00170D88">
      <w:pPr>
        <w:spacing w:after="80"/>
      </w:pPr>
    </w:p>
    <w:p w14:paraId="40AD9591" w14:textId="77777777" w:rsidR="00170D88" w:rsidRDefault="00000000">
      <w:pPr>
        <w:spacing w:before="80" w:after="40"/>
        <w:jc w:val="center"/>
      </w:pPr>
      <w:r>
        <w:rPr>
          <w:noProof/>
        </w:rPr>
        <w:lastRenderedPageBreak/>
        <w:drawing>
          <wp:inline distT="0" distB="0" distL="0" distR="0" wp14:anchorId="45DC2404" wp14:editId="295E9229">
            <wp:extent cx="5667375" cy="5848350"/>
            <wp:effectExtent l="0" t="0" r="0" b="0"/>
            <wp:docPr id="1027546259" name="Picture 1027546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5667375" cy="5848350"/>
                    </a:xfrm>
                    <a:prstGeom prst="rect">
                      <a:avLst/>
                    </a:prstGeom>
                  </pic:spPr>
                </pic:pic>
              </a:graphicData>
            </a:graphic>
          </wp:inline>
        </w:drawing>
      </w:r>
    </w:p>
    <w:p w14:paraId="5E4FAA59" w14:textId="77777777" w:rsidR="00170D88" w:rsidRDefault="00000000">
      <w:pPr>
        <w:spacing w:after="120"/>
        <w:jc w:val="center"/>
      </w:pPr>
      <w:r>
        <w:rPr>
          <w:i/>
          <w:iCs/>
          <w:color w:val="555555"/>
          <w:sz w:val="18"/>
          <w:szCs w:val="18"/>
        </w:rPr>
        <w:t>Figure 5.6: Pair plot — pairwise scatter plots and diagonal KDE for key numerical variables.</w:t>
      </w:r>
    </w:p>
    <w:p w14:paraId="31470DE5" w14:textId="77777777" w:rsidR="00170D88" w:rsidRDefault="00170D88">
      <w:pPr>
        <w:spacing w:after="200"/>
      </w:pPr>
    </w:p>
    <w:p w14:paraId="0DECE3CF" w14:textId="77777777" w:rsidR="00170D88" w:rsidRDefault="00000000">
      <w:pPr>
        <w:shd w:val="clear" w:color="auto" w:fill="1B3A6B"/>
        <w:spacing w:before="240" w:after="120"/>
      </w:pPr>
      <w:r>
        <w:rPr>
          <w:b/>
          <w:bCs/>
          <w:color w:val="FFFFFF"/>
          <w:sz w:val="28"/>
          <w:szCs w:val="28"/>
        </w:rPr>
        <w:t>6.  Key Findings and Conclusions</w:t>
      </w:r>
    </w:p>
    <w:p w14:paraId="53EC38F7" w14:textId="77777777" w:rsidR="00170D88" w:rsidRDefault="00170D88">
      <w:pPr>
        <w:spacing w:after="80"/>
      </w:pPr>
    </w:p>
    <w:p w14:paraId="2852417C" w14:textId="77777777" w:rsidR="00170D88" w:rsidRDefault="00000000">
      <w:pPr>
        <w:pBdr>
          <w:bottom w:val="single" w:sz="4" w:space="1" w:color="2E75B6"/>
        </w:pBdr>
        <w:spacing w:before="180" w:after="80"/>
      </w:pPr>
      <w:proofErr w:type="gramStart"/>
      <w:r>
        <w:rPr>
          <w:b/>
          <w:bCs/>
          <w:color w:val="1B3A6B"/>
          <w:sz w:val="24"/>
          <w:szCs w:val="24"/>
        </w:rPr>
        <w:t>6.1  Summary</w:t>
      </w:r>
      <w:proofErr w:type="gramEnd"/>
      <w:r>
        <w:rPr>
          <w:b/>
          <w:bCs/>
          <w:color w:val="1B3A6B"/>
          <w:sz w:val="24"/>
          <w:szCs w:val="24"/>
        </w:rPr>
        <w:t xml:space="preserve"> of Findings</w:t>
      </w:r>
    </w:p>
    <w:p w14:paraId="76A6FF25" w14:textId="77777777" w:rsidR="00170D88" w:rsidRDefault="00170D88">
      <w:pPr>
        <w:spacing w:after="80"/>
      </w:pPr>
    </w:p>
    <w:p w14:paraId="7F972B1E" w14:textId="77777777" w:rsidR="00170D88" w:rsidRDefault="00000000">
      <w:pPr>
        <w:spacing w:before="100" w:after="40"/>
      </w:pPr>
      <w:r>
        <w:rPr>
          <w:b/>
          <w:bCs/>
          <w:color w:val="1B3A6B"/>
        </w:rPr>
        <w:t>Univariate Analysis:</w:t>
      </w:r>
    </w:p>
    <w:p w14:paraId="655E27B1" w14:textId="77777777" w:rsidR="00170D88" w:rsidRDefault="00000000">
      <w:pPr>
        <w:pStyle w:val="ListParagraph"/>
        <w:numPr>
          <w:ilvl w:val="0"/>
          <w:numId w:val="2"/>
        </w:numPr>
        <w:spacing w:before="40" w:after="40"/>
      </w:pPr>
      <w:r>
        <w:t xml:space="preserve">Most numerical variables are symmetrically distributed (skewness ≈ 0). The primary exception is </w:t>
      </w:r>
      <w:proofErr w:type="spellStart"/>
      <w:r>
        <w:t>total_revenue</w:t>
      </w:r>
      <w:proofErr w:type="spellEnd"/>
      <w:r>
        <w:t xml:space="preserve"> (skewness = +0.98), which is positively skewed and contains high-value outliers.</w:t>
      </w:r>
    </w:p>
    <w:p w14:paraId="68258CA3" w14:textId="77777777" w:rsidR="00170D88" w:rsidRDefault="00000000">
      <w:pPr>
        <w:pStyle w:val="ListParagraph"/>
        <w:numPr>
          <w:ilvl w:val="0"/>
          <w:numId w:val="2"/>
        </w:numPr>
        <w:spacing w:before="40" w:after="40"/>
      </w:pPr>
      <w:r>
        <w:t>All categorical variables — product category, customer region, payment method, day of week, and month — are near-uniformly distributed, indicating a well-stratified dataset.</w:t>
      </w:r>
    </w:p>
    <w:p w14:paraId="0391332B" w14:textId="77777777" w:rsidR="00170D88" w:rsidRDefault="00000000">
      <w:pPr>
        <w:pStyle w:val="ListParagraph"/>
        <w:numPr>
          <w:ilvl w:val="0"/>
          <w:numId w:val="2"/>
        </w:numPr>
        <w:spacing w:before="40" w:after="40"/>
      </w:pPr>
      <w:proofErr w:type="spellStart"/>
      <w:r>
        <w:t>discount_percent</w:t>
      </w:r>
      <w:proofErr w:type="spellEnd"/>
      <w:r>
        <w:t xml:space="preserve"> displays a discrete multi-modal distribution at standardised tiers (0%, 5%, 10%, 15%, 20%, 30%).</w:t>
      </w:r>
    </w:p>
    <w:p w14:paraId="7464A5F3" w14:textId="77777777" w:rsidR="00170D88" w:rsidRDefault="00170D88">
      <w:pPr>
        <w:spacing w:after="80"/>
      </w:pPr>
    </w:p>
    <w:p w14:paraId="543F575C" w14:textId="77777777" w:rsidR="00170D88" w:rsidRDefault="00000000">
      <w:pPr>
        <w:spacing w:before="100" w:after="40"/>
      </w:pPr>
      <w:r>
        <w:rPr>
          <w:b/>
          <w:bCs/>
          <w:color w:val="1B3A6B"/>
        </w:rPr>
        <w:t>Bivariate Analysis:</w:t>
      </w:r>
    </w:p>
    <w:p w14:paraId="1D073679" w14:textId="77777777" w:rsidR="00170D88" w:rsidRDefault="00000000">
      <w:pPr>
        <w:pStyle w:val="ListParagraph"/>
        <w:numPr>
          <w:ilvl w:val="0"/>
          <w:numId w:val="2"/>
        </w:numPr>
        <w:spacing w:before="40" w:after="40"/>
      </w:pPr>
      <w:r>
        <w:lastRenderedPageBreak/>
        <w:t>Price is the strongest driver of total revenue (r = 0.71), followed by quantity sold (r = 0.59). Both are statistically significant predictors.</w:t>
      </w:r>
    </w:p>
    <w:p w14:paraId="38C16F76" w14:textId="77777777" w:rsidR="00170D88" w:rsidRDefault="00000000">
      <w:pPr>
        <w:pStyle w:val="ListParagraph"/>
        <w:numPr>
          <w:ilvl w:val="0"/>
          <w:numId w:val="2"/>
        </w:numPr>
        <w:spacing w:before="40" w:after="40"/>
      </w:pPr>
      <w:r>
        <w:t>Discounted price and total revenue are strongly correlated (r = 0.73), confirming the post-discount effective price as a reliable revenue indicator.</w:t>
      </w:r>
    </w:p>
    <w:p w14:paraId="6FDDE1D9" w14:textId="77777777" w:rsidR="00170D88" w:rsidRDefault="00000000">
      <w:pPr>
        <w:pStyle w:val="ListParagraph"/>
        <w:numPr>
          <w:ilvl w:val="0"/>
          <w:numId w:val="2"/>
        </w:numPr>
        <w:spacing w:before="40" w:after="40"/>
      </w:pPr>
      <w:r>
        <w:t>Discount percentage has a weak negative effect on revenue (r = -0.14), suggesting that discounts do not meaningfully compensate for the price reduction in revenue terms.</w:t>
      </w:r>
    </w:p>
    <w:p w14:paraId="2E2E35D3" w14:textId="77777777" w:rsidR="00170D88" w:rsidRDefault="00000000">
      <w:pPr>
        <w:pStyle w:val="ListParagraph"/>
        <w:numPr>
          <w:ilvl w:val="0"/>
          <w:numId w:val="2"/>
        </w:numPr>
        <w:spacing w:before="40" w:after="40"/>
      </w:pPr>
      <w:r>
        <w:t>Product category, customer region, and payment method show no meaningful differences in mean revenue, rating, or pricing — all group-level averages are statistically equivalent.</w:t>
      </w:r>
    </w:p>
    <w:p w14:paraId="3DD39A06" w14:textId="77777777" w:rsidR="00170D88" w:rsidRDefault="00000000">
      <w:pPr>
        <w:pStyle w:val="ListParagraph"/>
        <w:numPr>
          <w:ilvl w:val="0"/>
          <w:numId w:val="2"/>
        </w:numPr>
        <w:spacing w:before="40" w:after="40"/>
      </w:pPr>
      <w:r>
        <w:t>Rating and review count are independent of all financial variables (r ≈ 0.00).</w:t>
      </w:r>
    </w:p>
    <w:p w14:paraId="79C89EC2" w14:textId="77777777" w:rsidR="00170D88" w:rsidRDefault="00170D88">
      <w:pPr>
        <w:spacing w:after="120"/>
      </w:pPr>
    </w:p>
    <w:p w14:paraId="207F7CBA" w14:textId="77777777" w:rsidR="00170D88" w:rsidRDefault="00000000">
      <w:pPr>
        <w:pBdr>
          <w:bottom w:val="single" w:sz="4" w:space="1" w:color="2E75B6"/>
        </w:pBdr>
        <w:spacing w:before="180" w:after="80"/>
      </w:pPr>
      <w:proofErr w:type="gramStart"/>
      <w:r>
        <w:rPr>
          <w:b/>
          <w:bCs/>
          <w:color w:val="1B3A6B"/>
          <w:sz w:val="24"/>
          <w:szCs w:val="24"/>
        </w:rPr>
        <w:t>6.2  Conclusions</w:t>
      </w:r>
      <w:proofErr w:type="gramEnd"/>
    </w:p>
    <w:p w14:paraId="55E0B5F9" w14:textId="77777777" w:rsidR="00170D88" w:rsidRDefault="00000000">
      <w:pPr>
        <w:spacing w:before="60" w:after="60"/>
        <w:jc w:val="both"/>
      </w:pPr>
      <w:r>
        <w:t>This exploratory data analysis of the Amazon sales dataset reveals a dataset that is highly balanced across all categorical dimensions and structurally clean across numerical variables. The two primary quantitative insights are: (1) product price is the dominant determinant of per-transaction revenue, and (2) quantity sold plays a meaningful secondary role. All categorical variables — region, product category, and payment method — exhibit negligible variation in their impact on sales outcomes. Future analysis could extend this work through regression modelling to quantify the combined effect of price and quantity on revenue, and through inferential statistical tests to formally assess whether the small observed group-level differences are statistically significant.</w:t>
      </w:r>
    </w:p>
    <w:p w14:paraId="28B1F976" w14:textId="77777777" w:rsidR="00170D88" w:rsidRDefault="00170D88">
      <w:pPr>
        <w:spacing w:after="120"/>
      </w:pPr>
    </w:p>
    <w:p w14:paraId="4EBBDBD7" w14:textId="77777777" w:rsidR="00170D88" w:rsidRDefault="00000000">
      <w:pPr>
        <w:pBdr>
          <w:bottom w:val="single" w:sz="4" w:space="1" w:color="2E75B6"/>
        </w:pBdr>
        <w:spacing w:before="180" w:after="80"/>
      </w:pPr>
      <w:proofErr w:type="gramStart"/>
      <w:r>
        <w:rPr>
          <w:b/>
          <w:bCs/>
          <w:color w:val="1B3A6B"/>
          <w:sz w:val="24"/>
          <w:szCs w:val="24"/>
        </w:rPr>
        <w:t>6.3  Limitations</w:t>
      </w:r>
      <w:proofErr w:type="gramEnd"/>
    </w:p>
    <w:p w14:paraId="17ED94E2" w14:textId="77777777" w:rsidR="00170D88" w:rsidRDefault="00000000">
      <w:pPr>
        <w:pStyle w:val="ListParagraph"/>
        <w:numPr>
          <w:ilvl w:val="0"/>
          <w:numId w:val="2"/>
        </w:numPr>
        <w:spacing w:before="40" w:after="40"/>
      </w:pPr>
      <w:r>
        <w:t>The near-perfect uniformity across all categorical variables suggests the dataset may be synthetically generated or deliberately stratified, which may limit the real-world generalisability of findings.</w:t>
      </w:r>
    </w:p>
    <w:p w14:paraId="10756A69" w14:textId="77777777" w:rsidR="00170D88" w:rsidRDefault="00000000">
      <w:pPr>
        <w:pStyle w:val="ListParagraph"/>
        <w:numPr>
          <w:ilvl w:val="0"/>
          <w:numId w:val="2"/>
        </w:numPr>
        <w:spacing w:before="40" w:after="40"/>
      </w:pPr>
      <w:r>
        <w:t>The analysis is purely exploratory and does not establish causal relationships between variables.</w:t>
      </w:r>
    </w:p>
    <w:p w14:paraId="037FFC7D" w14:textId="77777777" w:rsidR="00170D88" w:rsidRDefault="00000000">
      <w:pPr>
        <w:pStyle w:val="ListParagraph"/>
        <w:numPr>
          <w:ilvl w:val="0"/>
          <w:numId w:val="2"/>
        </w:numPr>
        <w:spacing w:before="40" w:after="40"/>
      </w:pPr>
      <w:r>
        <w:t>Temporal analysis is limited to order frequency; revenue trends over time were not examined in this phase.</w:t>
      </w:r>
    </w:p>
    <w:sectPr w:rsidR="00170D88">
      <w:headerReference w:type="default" r:id="rId29"/>
      <w:footerReference w:type="default" r:id="rId30"/>
      <w:pgSz w:w="11906" w:h="16838"/>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3E1A87" w14:textId="77777777" w:rsidR="00BB225A" w:rsidRDefault="00BB225A">
      <w:r>
        <w:separator/>
      </w:r>
    </w:p>
  </w:endnote>
  <w:endnote w:type="continuationSeparator" w:id="0">
    <w:p w14:paraId="33944A7D" w14:textId="77777777" w:rsidR="00BB225A" w:rsidRDefault="00BB225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AEE22F" w14:textId="07E2EECE" w:rsidR="00170D88" w:rsidRDefault="00D3312D">
    <w:pPr>
      <w:pBdr>
        <w:top w:val="single" w:sz="4" w:space="1" w:color="1B3A6B"/>
      </w:pBdr>
      <w:jc w:val="center"/>
    </w:pPr>
    <w:r>
      <w:rPr>
        <w:color w:val="1B3A6B"/>
        <w:sz w:val="18"/>
        <w:szCs w:val="18"/>
      </w:rPr>
      <w:t xml:space="preserve">GOPAL KRISHNA NIGAM </w:t>
    </w:r>
    <w:r>
      <w:rPr>
        <w:color w:val="1B3A6B"/>
        <w:sz w:val="18"/>
        <w:szCs w:val="18"/>
      </w:rPr>
      <w:ptab w:relativeTo="margin" w:alignment="left" w:leader="none"/>
    </w:r>
    <w:r w:rsidR="00000000">
      <w:rPr>
        <w:color w:val="1B3A6B"/>
        <w:sz w:val="18"/>
        <w:szCs w:val="18"/>
      </w:rPr>
      <w:t xml:space="preserve">Page </w:t>
    </w:r>
    <w:r w:rsidR="00000000">
      <w:rPr>
        <w:color w:val="1B3A6B"/>
        <w:sz w:val="18"/>
        <w:szCs w:val="18"/>
      </w:rPr>
      <w:fldChar w:fldCharType="begin"/>
    </w:r>
    <w:r w:rsidR="00000000">
      <w:rPr>
        <w:color w:val="1B3A6B"/>
        <w:sz w:val="18"/>
        <w:szCs w:val="18"/>
      </w:rPr>
      <w:instrText>PAGE</w:instrText>
    </w:r>
    <w:r w:rsidR="00000000">
      <w:rPr>
        <w:color w:val="1B3A6B"/>
        <w:sz w:val="18"/>
        <w:szCs w:val="18"/>
      </w:rPr>
      <w:fldChar w:fldCharType="separate"/>
    </w:r>
    <w:r>
      <w:rPr>
        <w:noProof/>
        <w:color w:val="1B3A6B"/>
        <w:sz w:val="18"/>
        <w:szCs w:val="18"/>
      </w:rPr>
      <w:t>1</w:t>
    </w:r>
    <w:r w:rsidR="00000000">
      <w:rPr>
        <w:color w:val="1B3A6B"/>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6CCAD5" w14:textId="77777777" w:rsidR="00BB225A" w:rsidRDefault="00BB225A">
      <w:r>
        <w:separator/>
      </w:r>
    </w:p>
  </w:footnote>
  <w:footnote w:type="continuationSeparator" w:id="0">
    <w:p w14:paraId="18514B18" w14:textId="77777777" w:rsidR="00BB225A" w:rsidRDefault="00BB225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8723A5" w14:textId="1B4B7A16" w:rsidR="00170D88" w:rsidRDefault="00000000">
    <w:pPr>
      <w:pBdr>
        <w:bottom w:val="single" w:sz="4" w:space="1" w:color="2E75B6"/>
      </w:pBdr>
      <w:jc w:val="right"/>
    </w:pPr>
    <w:r>
      <w:rPr>
        <w:i/>
        <w:iCs/>
        <w:color w:val="2E75B6"/>
        <w:sz w:val="18"/>
        <w:szCs w:val="18"/>
      </w:rPr>
      <w:t xml:space="preserve">EDA of Amazon Sales </w:t>
    </w:r>
    <w:proofErr w:type="gramStart"/>
    <w:r>
      <w:rPr>
        <w:i/>
        <w:iCs/>
        <w:color w:val="2E75B6"/>
        <w:sz w:val="18"/>
        <w:szCs w:val="18"/>
      </w:rPr>
      <w:t xml:space="preserve">Data  </w:t>
    </w:r>
    <w:proofErr w:type="gramEnd"/>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BD476E3"/>
    <w:multiLevelType w:val="hybridMultilevel"/>
    <w:tmpl w:val="4D869714"/>
    <w:lvl w:ilvl="0" w:tplc="6CCAEED8">
      <w:start w:val="1"/>
      <w:numFmt w:val="bullet"/>
      <w:lvlText w:val="●"/>
      <w:lvlJc w:val="left"/>
      <w:pPr>
        <w:ind w:left="720" w:hanging="360"/>
      </w:pPr>
    </w:lvl>
    <w:lvl w:ilvl="1" w:tplc="68002CC4">
      <w:start w:val="1"/>
      <w:numFmt w:val="bullet"/>
      <w:lvlText w:val="○"/>
      <w:lvlJc w:val="left"/>
      <w:pPr>
        <w:ind w:left="1440" w:hanging="360"/>
      </w:pPr>
    </w:lvl>
    <w:lvl w:ilvl="2" w:tplc="B87ABEE0">
      <w:start w:val="1"/>
      <w:numFmt w:val="bullet"/>
      <w:lvlText w:val="■"/>
      <w:lvlJc w:val="left"/>
      <w:pPr>
        <w:ind w:left="2160" w:hanging="360"/>
      </w:pPr>
    </w:lvl>
    <w:lvl w:ilvl="3" w:tplc="06D450A6">
      <w:start w:val="1"/>
      <w:numFmt w:val="bullet"/>
      <w:lvlText w:val="●"/>
      <w:lvlJc w:val="left"/>
      <w:pPr>
        <w:ind w:left="2880" w:hanging="360"/>
      </w:pPr>
    </w:lvl>
    <w:lvl w:ilvl="4" w:tplc="51E6488A">
      <w:start w:val="1"/>
      <w:numFmt w:val="bullet"/>
      <w:lvlText w:val="○"/>
      <w:lvlJc w:val="left"/>
      <w:pPr>
        <w:ind w:left="3600" w:hanging="360"/>
      </w:pPr>
    </w:lvl>
    <w:lvl w:ilvl="5" w:tplc="5FD4DB14">
      <w:start w:val="1"/>
      <w:numFmt w:val="bullet"/>
      <w:lvlText w:val="■"/>
      <w:lvlJc w:val="left"/>
      <w:pPr>
        <w:ind w:left="4320" w:hanging="360"/>
      </w:pPr>
    </w:lvl>
    <w:lvl w:ilvl="6" w:tplc="2402D780">
      <w:start w:val="1"/>
      <w:numFmt w:val="bullet"/>
      <w:lvlText w:val="●"/>
      <w:lvlJc w:val="left"/>
      <w:pPr>
        <w:ind w:left="5040" w:hanging="360"/>
      </w:pPr>
    </w:lvl>
    <w:lvl w:ilvl="7" w:tplc="D7BCE444">
      <w:start w:val="1"/>
      <w:numFmt w:val="bullet"/>
      <w:lvlText w:val="●"/>
      <w:lvlJc w:val="left"/>
      <w:pPr>
        <w:ind w:left="5760" w:hanging="360"/>
      </w:pPr>
    </w:lvl>
    <w:lvl w:ilvl="8" w:tplc="ABAA1370">
      <w:start w:val="1"/>
      <w:numFmt w:val="bullet"/>
      <w:lvlText w:val="●"/>
      <w:lvlJc w:val="left"/>
      <w:pPr>
        <w:ind w:left="6480" w:hanging="360"/>
      </w:pPr>
    </w:lvl>
  </w:abstractNum>
  <w:abstractNum w:abstractNumId="1" w15:restartNumberingAfterBreak="0">
    <w:nsid w:val="5FA7636A"/>
    <w:multiLevelType w:val="hybridMultilevel"/>
    <w:tmpl w:val="2C60B1BE"/>
    <w:lvl w:ilvl="0" w:tplc="489C0D9A">
      <w:start w:val="1"/>
      <w:numFmt w:val="bullet"/>
      <w:lvlText w:val="•"/>
      <w:lvlJc w:val="left"/>
      <w:pPr>
        <w:ind w:left="720" w:hanging="360"/>
      </w:pPr>
    </w:lvl>
    <w:lvl w:ilvl="1" w:tplc="13F4F5D4">
      <w:numFmt w:val="decimal"/>
      <w:lvlText w:val=""/>
      <w:lvlJc w:val="left"/>
    </w:lvl>
    <w:lvl w:ilvl="2" w:tplc="73F86CD8">
      <w:numFmt w:val="decimal"/>
      <w:lvlText w:val=""/>
      <w:lvlJc w:val="left"/>
    </w:lvl>
    <w:lvl w:ilvl="3" w:tplc="17AEB8A2">
      <w:numFmt w:val="decimal"/>
      <w:lvlText w:val=""/>
      <w:lvlJc w:val="left"/>
    </w:lvl>
    <w:lvl w:ilvl="4" w:tplc="B67A0462">
      <w:numFmt w:val="decimal"/>
      <w:lvlText w:val=""/>
      <w:lvlJc w:val="left"/>
    </w:lvl>
    <w:lvl w:ilvl="5" w:tplc="83DE528C">
      <w:numFmt w:val="decimal"/>
      <w:lvlText w:val=""/>
      <w:lvlJc w:val="left"/>
    </w:lvl>
    <w:lvl w:ilvl="6" w:tplc="27B843C8">
      <w:numFmt w:val="decimal"/>
      <w:lvlText w:val=""/>
      <w:lvlJc w:val="left"/>
    </w:lvl>
    <w:lvl w:ilvl="7" w:tplc="B2FE521E">
      <w:numFmt w:val="decimal"/>
      <w:lvlText w:val=""/>
      <w:lvlJc w:val="left"/>
    </w:lvl>
    <w:lvl w:ilvl="8" w:tplc="B0F4FE98">
      <w:numFmt w:val="decimal"/>
      <w:lvlText w:val=""/>
      <w:lvlJc w:val="left"/>
    </w:lvl>
  </w:abstractNum>
  <w:num w:numId="1" w16cid:durableId="493882236">
    <w:abstractNumId w:val="0"/>
    <w:lvlOverride w:ilvl="0">
      <w:startOverride w:val="1"/>
    </w:lvlOverride>
  </w:num>
  <w:num w:numId="2" w16cid:durableId="58589265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0D88"/>
    <w:rsid w:val="00170D88"/>
    <w:rsid w:val="002D0A01"/>
    <w:rsid w:val="002E24A9"/>
    <w:rsid w:val="00BB225A"/>
    <w:rsid w:val="00D3312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09352D"/>
  <w15:docId w15:val="{36C06046-84D2-47E0-A596-1212383FB5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374151"/>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20"/>
      <w:outlineLvl w:val="0"/>
    </w:pPr>
    <w:rPr>
      <w:b/>
      <w:bCs/>
      <w:color w:val="FFFFFF"/>
      <w:sz w:val="28"/>
      <w:szCs w:val="28"/>
    </w:rPr>
  </w:style>
  <w:style w:type="paragraph" w:styleId="Heading2">
    <w:name w:val="heading 2"/>
    <w:uiPriority w:val="9"/>
    <w:semiHidden/>
    <w:unhideWhenUsed/>
    <w:qFormat/>
    <w:pPr>
      <w:spacing w:before="180" w:after="80"/>
      <w:outlineLvl w:val="1"/>
    </w:pPr>
    <w:rPr>
      <w:b/>
      <w:bCs/>
      <w:color w:val="1B3A6B"/>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D3312D"/>
    <w:pPr>
      <w:tabs>
        <w:tab w:val="center" w:pos="4513"/>
        <w:tab w:val="right" w:pos="9026"/>
      </w:tabs>
    </w:pPr>
  </w:style>
  <w:style w:type="character" w:customStyle="1" w:styleId="HeaderChar">
    <w:name w:val="Header Char"/>
    <w:basedOn w:val="DefaultParagraphFont"/>
    <w:link w:val="Header"/>
    <w:uiPriority w:val="99"/>
    <w:rsid w:val="00D3312D"/>
  </w:style>
  <w:style w:type="paragraph" w:styleId="Footer">
    <w:name w:val="footer"/>
    <w:basedOn w:val="Normal"/>
    <w:link w:val="FooterChar"/>
    <w:uiPriority w:val="99"/>
    <w:unhideWhenUsed/>
    <w:rsid w:val="00D3312D"/>
    <w:pPr>
      <w:tabs>
        <w:tab w:val="center" w:pos="4513"/>
        <w:tab w:val="right" w:pos="9026"/>
      </w:tabs>
    </w:pPr>
  </w:style>
  <w:style w:type="character" w:customStyle="1" w:styleId="FooterChar">
    <w:name w:val="Footer Char"/>
    <w:basedOn w:val="DefaultParagraphFont"/>
    <w:link w:val="Footer"/>
    <w:uiPriority w:val="99"/>
    <w:rsid w:val="00D3312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TotalTime>
  <Pages>19</Pages>
  <Words>2512</Words>
  <Characters>14325</Characters>
  <Application>Microsoft Office Word</Application>
  <DocSecurity>0</DocSecurity>
  <Lines>119</Lines>
  <Paragraphs>33</Paragraphs>
  <ScaleCrop>false</ScaleCrop>
  <Company/>
  <LinksUpToDate>false</LinksUpToDate>
  <CharactersWithSpaces>16804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GOPAL KRISHNA NIGAM</cp:lastModifiedBy>
  <cp:revision>3</cp:revision>
  <dcterms:created xsi:type="dcterms:W3CDTF">2026-06-28T16:28:00Z</dcterms:created>
  <dcterms:modified xsi:type="dcterms:W3CDTF">2026-07-02T09:24:00Z</dcterms:modified>
</cp:coreProperties>
</file>