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Res. Asst. Dr. M. Gökhan Özdemir</w:t>
      </w:r>
    </w:p>
    <w:p>
      <w:pPr>
        <w:pStyle w:val="Date"/>
      </w:pPr>
      <w:r>
        <w:t xml:space="preserve">2026-04-28</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one-standard-deviation increase in ERS</w:t>
      </w:r>
      <w:r>
        <w:t xml:space="preserve"> </w:t>
      </w:r>
      <w:r>
        <w:t xml:space="preserve">reduces the chronic-inflation probability by 19.8 percentage points (RE Probit,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t xml:space="preserve">Argentina under President Carlos Menem offers a canonical within-country illustration of both mechanisms estimated below. Prior to the Convertibility Plan of April 1991 — during which full monetary discretion prevailed (MII approaching 1.0, ERS near zero) — Argentina experienced chronic hyperinflation, with CPI growth exceeding 1,000% annually in 1989–90 (World Bank WDI, indicator</w:t>
      </w:r>
      <w:r>
        <w:t xml:space="preserve"> </w:t>
      </w:r>
      <w:r>
        <w:rPr>
          <w:rStyle w:val="VerbatimChar"/>
        </w:rPr>
        <w:t xml:space="preserve">FP.CPI.TOTL.ZG</w:t>
      </w:r>
      <w:r>
        <w:t xml:space="preserve">). Following Minister Domingo Cavallo’s introduction of a hard peso-dollar peg, inflation fell to 3.4% by 1994</w:t>
      </w:r>
      <w:r>
        <w:t xml:space="preserve"> </w:t>
      </w:r>
      <w:r>
        <w:t xml:space="preserve">(Cavallo &amp; Cottani, 1997)</w:t>
      </w:r>
      <w:r>
        <w:t xml:space="preserve">. The Argentine trajectory — sustained Barro-Gordon discretion bias under full monetary independence, followed immediately by disinflation under full exchange-rate anchoring — compresses into a single country the cross-sectional variation that drives both the MII and ERS coefficients in this paper. Argentina is included in the N = 106 estimation sample; its influence is captured empirically rather than imposed as a narrative prior.</w:t>
      </w:r>
    </w:p>
    <w:p>
      <w:pPr>
        <w:pStyle w:val="BodyText"/>
      </w:pPr>
      <w:r>
        <w:rPr>
          <w:b/>
          <w:bCs/>
        </w:rPr>
        <w:t xml:space="preserve">This paper shows four things.</w:t>
      </w:r>
      <w:r>
        <w:t xml:space="preserve"> </w:t>
      </w:r>
      <w:r>
        <w:t xml:space="preserve">First, exchange rate stability (ERS) is the dominant trilemma instrument: a one-standard-deviation increase in ERS reduces the chronic-inflation probability by</w:t>
      </w:r>
      <w:r>
        <w:t xml:space="preserve"> </w:t>
      </w:r>
      <w:r>
        <w:rPr>
          <w:b/>
          <w:bCs/>
        </w:rPr>
        <w:t xml:space="preserve">19.8 percentage points</w:t>
      </w:r>
      <w:r>
        <w:t xml:space="preserve"> </w:t>
      </w:r>
      <w:r>
        <w:t xml:space="preserve">(RE Probit,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+42.4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3"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2"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bookmarkEnd w:id="12"/>
    <w:bookmarkEnd w:id="13"/>
    <w:bookmarkStart w:id="24" w:name="data"/>
    <w:p>
      <w:pPr>
        <w:pStyle w:val="Heading1"/>
      </w:pPr>
      <w:r>
        <w:t xml:space="preserve">3. Data</w:t>
      </w:r>
    </w:p>
    <w:bookmarkStart w:id="15"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4">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5"/>
    <w:bookmarkStart w:id="16"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6"/>
    <w:bookmarkStart w:id="17"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7"/>
    <w:bookmarkStart w:id="23"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8"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8"/>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2" w:name="fig-incidence"/>
          <w:p>
            <w:pPr>
              <w:pStyle w:val="Compact"/>
              <w:jc w:val="center"/>
            </w:pPr>
            <w:r>
              <w:drawing>
                <wp:inline>
                  <wp:extent cx="5334000" cy="4267200"/>
                  <wp:effectExtent b="0" l="0" r="0" t="0"/>
                  <wp:docPr descr="" title="" id="20" name="Picture"/>
                  <a:graphic>
                    <a:graphicData uri="http://schemas.openxmlformats.org/drawingml/2006/picture">
                      <pic:pic>
                        <pic:nvPicPr>
                          <pic:cNvPr descr="chronic_inf_trilemma_v02_files/figure-docx/fig-incidence-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2"/>
        </w:tc>
      </w:tr>
    </w:tbl>
    <w:bookmarkEnd w:id="23"/>
    <w:bookmarkEnd w:id="24"/>
    <w:bookmarkStart w:id="28" w:name="empirical-strategy"/>
    <w:p>
      <w:pPr>
        <w:pStyle w:val="Heading1"/>
      </w:pPr>
      <w:r>
        <w:t xml:space="preserve">4. Empirical Strategy</w:t>
      </w:r>
    </w:p>
    <w:bookmarkStart w:id="25"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confirming the RE Probit specification. 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5"/>
    <w:bookmarkStart w:id="26" w:name="main-models"/>
    <w:p>
      <w:pPr>
        <w:pStyle w:val="Heading2"/>
      </w:pPr>
      <w:r>
        <w:t xml:space="preserve">4.2 Main Models</w:t>
      </w:r>
    </w:p>
    <w:p>
      <w:pPr>
        <w:pStyle w:val="FirstParagraph"/>
      </w:pPr>
      <w:r>
        <w:rPr>
          <w:b/>
          <w:bCs/>
        </w:rPr>
        <w:t xml:space="preserve">Model A — Random Effects Probit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6"/>
    <w:bookmarkStart w:id="27"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 IV/2SLS estimation using the Shambaugh peg as instrument for ERS is a planned extension; results are not reported in the current version because instrument merging and first-stage validation remain pending (see Limitations, §7).</w:t>
      </w:r>
    </w:p>
    <w:bookmarkEnd w:id="27"/>
    <w:bookmarkEnd w:id="28"/>
    <w:bookmarkStart w:id="33" w:name="results"/>
    <w:p>
      <w:pPr>
        <w:pStyle w:val="Heading1"/>
      </w:pPr>
      <w:r>
        <w:t xml:space="preserve">5. Results</w:t>
      </w:r>
    </w:p>
    <w:bookmarkStart w:id="31"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RE Probit coefficients and average partial effects (APEs). Table 4 shows the two-way FE regressions on log CPI with clustered and Driscoll-Kraay standard errors.</w:t>
      </w:r>
    </w:p>
    <w:tbl>
      <w:tblPr>
        <w:tblStyle w:val="Table"/>
        <w:tblW w:type="pct" w:w="5000"/>
        <w:tblLayout w:type="fixed"/>
        <w:tblLook w:firstRow="0" w:lastRow="0" w:firstColumn="0" w:lastColumn="0" w:noHBand="0" w:noVBand="0" w:val="0000"/>
      </w:tblPr>
      <w:tblGrid>
        <w:gridCol w:w="7920"/>
      </w:tblGrid>
      <w:tr>
        <w:tc>
          <w:tcPr/>
          <w:bookmarkStart w:id="29" w:name="tbl-probit"/>
          <w:p>
            <w:pPr>
              <w:jc w:val="center"/>
            </w:pPr>
            <w:pPr>
              <w:jc w:val="left"/>
              <w:spacing w:before="200"/>
              <w:pStyle w:val="ImageCaption"/>
            </w:pPr>
            <w:r>
              <w:t xml:space="preserve">Table 2: RE Probit: Probability of Chronic Inflation (Dependent variable = 1 if CPI &gt; 10% for ≥3 consecutive years)</w:t>
            </w:r>
          </w:p>
          <w:p>
            <w:pPr>
              <w:pStyle w:val="Compact"/>
              <w:jc w:val="center"/>
            </w:pPr>
            <w:r>
              <w:t xml:space="preserve">RE Probit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RE Probit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29"/>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0"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0"/>
          <w:p/>
        </w:tc>
      </w:tr>
    </w:tbl>
    <w:p>
      <w:pPr>
        <w:pStyle w:val="BodyText"/>
      </w:pPr>
      <w:r>
        <w:rPr>
          <w:b/>
          <w:bCs/>
        </w:rPr>
        <w:t xml:space="preserve">System-GMM diagnostic (Model B).</w:t>
      </w:r>
      <w:r>
        <w:t xml:space="preserve"> </w:t>
      </w:r>
      <w:r>
        <w:t xml:space="preserve">Two-step System-GMM with collapsed instruments was estimated via</w:t>
      </w:r>
      <w:r>
        <w:t xml:space="preserve"> </w:t>
      </w:r>
      <w:r>
        <w:rPr>
          <w:rStyle w:val="VerbatimChar"/>
        </w:rPr>
        <w:t xml:space="preserve">pgmm</w:t>
      </w:r>
      <w:r>
        <w:t xml:space="preserve"> </w:t>
      </w:r>
      <w:r>
        <w:t xml:space="preserve">(Croissant &amp; Millo, 2008)</w:t>
      </w:r>
      <w:r>
        <w:t xml:space="preserve"> </w:t>
      </w:r>
      <w:r>
        <w:t xml:space="preserve">and</w:t>
      </w:r>
      <w:r>
        <w:t xml:space="preserve"> </w:t>
      </w:r>
      <w:r>
        <w:rPr>
          <w:rStyle w:val="VerbatimChar"/>
        </w:rPr>
        <w:t xml:space="preserve">pvargmm</w:t>
      </w:r>
      <w:r>
        <w:t xml:space="preserve"> </w:t>
      </w:r>
      <w:r>
        <w:t xml:space="preserve">(Sigmund &amp; Ferstl, 2021)</w:t>
      </w:r>
      <w:r>
        <w:t xml:space="preserve"> </w:t>
      </w:r>
      <w:r>
        <w:t xml:space="preserve">across multiple lag configurations, including lag-3 and lag-4 starts designed to bypass second-order autocorrelation. Across all specifications, Arellano-Bond tests reject instrument validity at orders 2 and 3 — AR(2):</w:t>
      </w:r>
      <w:r>
        <w:t xml:space="preserve"> </w:t>
      </w:r>
      <m:oMath>
        <m:r>
          <m:t>z</m:t>
        </m:r>
        <m:r>
          <m:rPr>
            <m:sty m:val="p"/>
          </m:rPr>
          <m:t>=</m:t>
        </m:r>
        <m:r>
          <m:rPr>
            <m:sty m:val="p"/>
          </m:rPr>
          <m:t>−</m:t>
        </m:r>
        <m:r>
          <m:t>1.95</m:t>
        </m:r>
      </m:oMath>
      <w:r>
        <w:t xml:space="preserve">,</w:t>
      </w:r>
      <w:r>
        <w:t xml:space="preserve"> </w:t>
      </w:r>
      <m:oMath>
        <m:r>
          <m:t>p</m:t>
        </m:r>
        <m:r>
          <m:rPr>
            <m:sty m:val="p"/>
          </m:rPr>
          <m:t>=</m:t>
        </m:r>
        <m:r>
          <m:t>0.051</m:t>
        </m:r>
      </m:oMath>
      <w:r>
        <w:t xml:space="preserve">; AR(3):</w:t>
      </w:r>
      <w:r>
        <w:t xml:space="preserve"> </w:t>
      </w:r>
      <m:oMath>
        <m:r>
          <m:t>z</m:t>
        </m:r>
        <m:r>
          <m:rPr>
            <m:sty m:val="p"/>
          </m:rPr>
          <m:t>=</m:t>
        </m:r>
        <m:r>
          <m:t>2.00</m:t>
        </m:r>
      </m:oMath>
      <w:r>
        <w:t xml:space="preserve">,</w:t>
      </w:r>
      <w:r>
        <w:t xml:space="preserve"> </w:t>
      </w:r>
      <m:oMath>
        <m:r>
          <m:t>p</m:t>
        </m:r>
        <m:r>
          <m:rPr>
            <m:sty m:val="p"/>
          </m:rPr>
          <m:t>=</m:t>
        </m:r>
        <m:r>
          <m:t>0.045</m:t>
        </m:r>
      </m:oMath>
      <w:r>
        <w:t xml:space="preserve"> </w:t>
      </w:r>
      <w:r>
        <w:t xml:space="preserve">— and Sargan overidentification tests fail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lag-3 collapsed specification). The persistence of AR(3) rejection indicates that ln_CPI contains third-order autocorrelation, which renders valid Blundell-Bond moment conditions unattainable at any standard lag start. Despite instrument invalidity, ERS is consistently negative and significant across all attempted GMM specifications (</w:t>
      </w:r>
      <m:oMath>
        <m:r>
          <m:t>b</m:t>
        </m:r>
      </m:oMath>
      <w:r>
        <w:t xml:space="preserve"> </w:t>
      </w:r>
      <w:r>
        <w:t xml:space="preserve">ranging from</w:t>
      </w:r>
      <w:r>
        <w:t xml:space="preserve"> </w:t>
      </w:r>
      <m:oMath>
        <m:r>
          <m:rPr>
            <m:sty m:val="p"/>
          </m:rPr>
          <m:t>−</m:t>
        </m:r>
        <m:r>
          <m:t>0.405</m:t>
        </m:r>
      </m:oMath>
      <w:r>
        <w:t xml:space="preserve"> </w:t>
      </w:r>
      <w:r>
        <w:t xml:space="preserve">to</w:t>
      </w:r>
      <w:r>
        <w:t xml:space="preserve"> </w:t>
      </w:r>
      <m:oMath>
        <m:r>
          <m:rPr>
            <m:sty m:val="p"/>
          </m:rPr>
          <m:t>−</m:t>
        </m:r>
        <m:r>
          <m:t>0.523</m:t>
        </m:r>
      </m:oMath>
      <w:r>
        <w:t xml:space="preserve">,</w:t>
      </w:r>
      <w:r>
        <w:t xml:space="preserve"> </w:t>
      </w:r>
      <m:oMath>
        <m:r>
          <m:t>p</m:t>
        </m:r>
        <m:r>
          <m:rPr>
            <m:sty m:val="p"/>
          </m:rPr>
          <m:t>&lt;</m:t>
        </m:r>
        <m:r>
          <m:t>0.001</m:t>
        </m:r>
      </m:oMath>
      <w:r>
        <w:t xml:space="preserve">), corroborating the Probit and FE results. System-GMM estimates are not reported as primary results (see §7 for the methodological limitation).</w:t>
      </w:r>
    </w:p>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bookmarkEnd w:id="31"/>
    <w:bookmarkStart w:id="32"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For Sub-Saharan Africa, where the ERS APE is −32.1 pp (b = −2.731***), exchange-rate anchoring has quantitatively larger effects than in the global sample, consistent with historically higher inflation and weaker monetary institutions in that region.</w:t>
      </w:r>
    </w:p>
    <w:p>
      <w:pPr>
        <w:pStyle w:val="BodyText"/>
      </w:pPr>
      <w:r>
        <w:t xml:space="preserve">Argentina’s 1989–1994 trajectory provides a country-level benchmark for this magnitude. A shift from full monetary independence (MII ≈ 1.0, ERS ≈ 0) to a hard peg (ERS ≈ 1.0) under the Convertibility Plan</w:t>
      </w:r>
      <w:r>
        <w:t xml:space="preserve"> </w:t>
      </w:r>
      <w:r>
        <w:t xml:space="preserve">(Cavallo &amp; Cottani, 1997; De la Torre et al., 2003)</w:t>
      </w:r>
      <w:r>
        <w:t xml:space="preserve"> </w:t>
      </w:r>
      <w:r>
        <w:t xml:space="preserve">was associated with a CPI decline from hyperinflationary levels exceeding 1,000% to 3.4% within three years (World Bank WDI). This disinflation is consistent with the 19.8 pp APE estimated in the full cross-section and with the −32.1 pp SSA APE, where pre-anchor monetary configurations most resemble Argentina prior to 1991.</w:t>
      </w:r>
    </w:p>
    <w:bookmarkEnd w:id="32"/>
    <w:bookmarkEnd w:id="33"/>
    <w:bookmarkStart w:id="38" w:name="robustness"/>
    <w:p>
      <w:pPr>
        <w:pStyle w:val="Heading1"/>
      </w:pPr>
      <w:r>
        <w:t xml:space="preserve">6. Robustness</w:t>
      </w:r>
    </w:p>
    <w:bookmarkStart w:id="34"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bookmarkEnd w:id="34"/>
    <w:bookmarkStart w:id="35"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+42.4</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Argentina’s hyperinflationary episode (CPI exceeding 1,000% annually in 1989–90, World Bank WDI) followed by rapid disinflation under the Convertibility Plan represents the archetype of the full-MII → chronic-inflation mechanism within this subsample</w:t>
      </w:r>
      <w:r>
        <w:t xml:space="preserve"> </w:t>
      </w:r>
      <w:r>
        <w:t xml:space="preserve">(De la Torre et al., 2003)</w:t>
      </w:r>
      <w:r>
        <w:t xml:space="preserve">. ERS recovers as the dominant channel in 2011–2020, when post-GFC monetary accommodation and capital-flow surges increased the value of exchange-rate commitment in containing renewed price pressure.</w:t>
      </w:r>
    </w:p>
    <w:bookmarkEnd w:id="35"/>
    <w:bookmarkStart w:id="36"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0.976**</w:t>
            </w:r>
          </w:p>
        </w:tc>
        <w:tc>
          <w:tcPr/>
          <w:p>
            <w:pPr>
              <w:pStyle w:val="Compact"/>
            </w:pPr>
            <w:r>
              <w:t xml:space="preserve">0.032</w:t>
            </w:r>
          </w:p>
        </w:tc>
        <w:tc>
          <w:tcPr/>
          <w:p>
            <w:pPr>
              <w:pStyle w:val="Compact"/>
            </w:pPr>
            <w:r>
              <w:t xml:space="preserve">−2.731***</w:t>
            </w:r>
          </w:p>
        </w:tc>
        <w:tc>
          <w:tcPr/>
          <w:p>
            <w:pPr>
              <w:pStyle w:val="Compact"/>
            </w:pPr>
            <w:r>
              <w:t xml:space="preserve">0.000</w:t>
            </w:r>
          </w:p>
        </w:tc>
        <w:tc>
          <w:tcPr/>
          <w:p>
            <w:pPr>
              <w:pStyle w:val="Compact"/>
            </w:pPr>
            <w:r>
              <w:t xml:space="preserve">−1.012***</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0.611</w:t>
            </w:r>
          </w:p>
        </w:tc>
        <w:tc>
          <w:tcPr/>
          <w:p>
            <w:pPr>
              <w:pStyle w:val="Compact"/>
            </w:pPr>
            <w:r>
              <w:t xml:space="preserve">−0.121**</w:t>
            </w:r>
          </w:p>
        </w:tc>
        <w:tc>
          <w:tcPr/>
          <w:p>
            <w:pPr>
              <w:pStyle w:val="Compact"/>
            </w:pPr>
            <w:r>
              <w:t xml:space="preserve">0.048</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0.543</w:t>
            </w:r>
          </w:p>
        </w:tc>
        <w:tc>
          <w:tcPr/>
          <w:p>
            <w:pPr>
              <w:pStyle w:val="Compact"/>
            </w:pPr>
            <w:r>
              <w:t xml:space="preserve">0.077 ns</w:t>
            </w:r>
          </w:p>
        </w:tc>
        <w:tc>
          <w:tcPr/>
          <w:p>
            <w:pPr>
              <w:pStyle w:val="Compact"/>
            </w:pPr>
            <w:r>
              <w:t xml:space="preserve">0.512</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0.729</w:t>
            </w:r>
          </w:p>
        </w:tc>
        <w:tc>
          <w:tcPr/>
          <w:p>
            <w:pPr>
              <w:pStyle w:val="Compact"/>
            </w:pPr>
            <w:r>
              <w:t xml:space="preserve">0.093 ns</w:t>
            </w:r>
          </w:p>
        </w:tc>
        <w:tc>
          <w:tcPr/>
          <w:p>
            <w:pPr>
              <w:pStyle w:val="Compact"/>
            </w:pPr>
            <w:r>
              <w:t xml:space="preserve">0.601</w:t>
            </w:r>
          </w:p>
        </w:tc>
        <w:tc>
          <w:tcPr/>
          <w:p>
            <w:pPr>
              <w:pStyle w:val="Compact"/>
            </w:pPr>
            <w:r>
              <w:t xml:space="preserve">−0.312 ns</w:t>
            </w:r>
          </w:p>
        </w:tc>
        <w:tc>
          <w:tcPr/>
          <w:p>
            <w:pPr>
              <w:pStyle w:val="Compact"/>
            </w:pPr>
            <w:r>
              <w:t xml:space="preserve">Rademacher,</w:t>
            </w:r>
            <w:r>
              <w:t xml:space="preserve"> </w:t>
            </w:r>
            <m:oMath>
              <m:r>
                <m:t>B</m:t>
              </m:r>
              <m:r>
                <m:rPr>
                  <m:sty m:val="p"/>
                </m:rPr>
                <m:t>=</m:t>
              </m:r>
              <m:r>
                <m:t>9999</m:t>
              </m:r>
            </m:oMath>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0.984</w:t>
            </w:r>
          </w:p>
        </w:tc>
        <w:tc>
          <w:tcPr/>
          <w:p>
            <w:pPr>
              <w:pStyle w:val="Compact"/>
            </w:pPr>
            <w:r>
              <w:t xml:space="preserve">−0.081 ns</w:t>
            </w:r>
          </w:p>
        </w:tc>
        <w:tc>
          <w:tcPr/>
          <w:p>
            <w:pPr>
              <w:pStyle w:val="Compact"/>
            </w:pPr>
            <w:r>
              <w:t xml:space="preserve">0.401</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0.218</w:t>
            </w:r>
          </w:p>
        </w:tc>
        <w:tc>
          <w:tcPr/>
          <w:p>
            <w:pPr>
              <w:pStyle w:val="Compact"/>
            </w:pPr>
            <w:r>
              <w:t xml:space="preserve">0.077 ns</w:t>
            </w:r>
          </w:p>
        </w:tc>
        <w:tc>
          <w:tcPr/>
          <w:p>
            <w:pPr>
              <w:pStyle w:val="Compact"/>
            </w:pPr>
            <w:r>
              <w:t xml:space="preserve">0.643</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95% bootstrap level (boot.</w:t>
      </w:r>
      <w:r>
        <w:t xml:space="preserve"> </w:t>
      </w:r>
      <m:oMath>
        <m:r>
          <m:t>p</m:t>
        </m:r>
        <m:r>
          <m:rPr>
            <m:sty m:val="p"/>
          </m:rPr>
          <m:t>&gt;</m:t>
        </m:r>
        <m:r>
          <m:t>0.10</m:t>
        </m:r>
      </m:oMath>
      <w:r>
        <w:t xml:space="preserve">). Bootstrap CIs are not reported for</w:t>
      </w:r>
      <w:r>
        <w:t xml:space="preserve"> </w:t>
      </w:r>
      <m:oMath>
        <m:sSub>
          <m:e>
            <m:r>
              <m:t>N</m:t>
            </m:r>
          </m:e>
          <m:sub>
            <m:r>
              <m:t>c</m:t>
            </m:r>
            <m:r>
              <m:t>c</m:t>
            </m:r>
          </m:sub>
        </m:sSub>
        <m:r>
          <m:rPr>
            <m:sty m:val="p"/>
          </m:rPr>
          <m:t>≤</m:t>
        </m:r>
        <m:r>
          <m:t>10</m:t>
        </m:r>
      </m:oMath>
      <w:r>
        <w:t xml:space="preserve"> </w:t>
      </w:r>
      <w:r>
        <w:t xml:space="preserve">subsamples (MENA, SA) due to boundary violations at extreme quantiles; p-values from B=9,999 draws are reported instead. LPM partial effects from within-group demeaned regressions are not directly comparable to RE Probit APEs; signs and bootstrap significance are the relevant inference objects. ***</w:t>
      </w:r>
      <w:r>
        <w:t xml:space="preserve"> </w:t>
      </w:r>
      <m:oMath>
        <m:r>
          <m:t>p</m:t>
        </m:r>
        <m:r>
          <m:rPr>
            <m:sty m:val="p"/>
          </m:rPr>
          <m:t>&lt;</m:t>
        </m:r>
        <m:r>
          <m:t>0.01</m:t>
        </m:r>
      </m:oMath>
      <w:r>
        <w:t xml:space="preserve">, **</w:t>
      </w:r>
      <w:r>
        <w:t xml:space="preserve"> </w:t>
      </w:r>
      <m:oMath>
        <m:r>
          <m:t>p</m:t>
        </m:r>
        <m:r>
          <m:rPr>
            <m:sty m:val="p"/>
          </m:rPr>
          <m:t>&lt;</m:t>
        </m:r>
        <m:r>
          <m:t>0.05</m:t>
        </m:r>
      </m:oMath>
      <w:r>
        <w:t xml:space="preserve"> </w:t>
      </w:r>
      <w:r>
        <w:t xml:space="preserve">based on bootstrap p-values.</w:t>
      </w:r>
    </w:p>
    <w:p>
      <w:pPr>
        <w:pStyle w:val="BodyText"/>
      </w:pPr>
      <w:r>
        <w:rPr>
          <w:b/>
          <w:bCs/>
        </w:rPr>
        <w:t xml:space="preserve">ERS retains significance only in SSA and EAP</w:t>
      </w:r>
      <w:r>
        <w:t xml:space="preserve"> </w:t>
      </w:r>
      <w:r>
        <w:t xml:space="preserve">after wild cluster correction; MII is not statistically confirmed in any regional subsample at conventional bootstrap levels. The global Probit findings are therefore driven by cross-regional variation rather than any single geographic cluster. SSA (ERS = −2.731***) accounts for a substantial share of the global APE. Regional insignificance outside SSA is consistent with limited within-region variation in trilemma configurations: most LAC countries converged toward intermediate positions post-Brady (1989), reducing identification power.</w:t>
      </w:r>
    </w:p>
    <w:bookmarkEnd w:id="36"/>
    <w:bookmarkStart w:id="37" w:name="inflation-persistence"/>
    <w:p>
      <w:pPr>
        <w:pStyle w:val="Heading2"/>
      </w:pPr>
      <w:r>
        <w:t xml:space="preserve">6.4 Inflation Persistence</w:t>
      </w:r>
    </w:p>
    <w:p>
      <w:pPr>
        <w:pStyle w:val="FirstParagraph"/>
      </w:pPr>
      <w:r>
        <w:t xml:space="preserve">Using the 36-month rolling AR(1) coefficient of CPI as a continuous dependent variable, none of the trilemma indices is statistically significant (MII:</w:t>
      </w:r>
      <w:r>
        <w:t xml:space="preserve"> </w:t>
      </w:r>
      <m:oMath>
        <m:r>
          <m:t>b</m:t>
        </m:r>
        <m:r>
          <m:rPr>
            <m:sty m:val="p"/>
          </m:rPr>
          <m:t>=</m:t>
        </m:r>
        <m:r>
          <m:rPr>
            <m:sty m:val="p"/>
          </m:rPr>
          <m:t>−</m:t>
        </m:r>
        <m:r>
          <m:t>0.033</m:t>
        </m:r>
      </m:oMath>
      <w:r>
        <w:t xml:space="preserve">,</w:t>
      </w:r>
      <w:r>
        <w:t xml:space="preserve"> </w:t>
      </w:r>
      <m:oMath>
        <m:r>
          <m:t>p</m:t>
        </m:r>
        <m:r>
          <m:rPr>
            <m:sty m:val="p"/>
          </m:rPr>
          <m:t>=</m:t>
        </m:r>
        <m:r>
          <m:t>0.299</m:t>
        </m:r>
      </m:oMath>
      <w:r>
        <w:t xml:space="preserve">; ERS:</w:t>
      </w:r>
      <w:r>
        <w:t xml:space="preserve"> </w:t>
      </w:r>
      <m:oMath>
        <m:r>
          <m:t>b</m:t>
        </m:r>
        <m:r>
          <m:rPr>
            <m:sty m:val="p"/>
          </m:rPr>
          <m:t>=</m:t>
        </m:r>
        <m:r>
          <m:rPr>
            <m:sty m:val="p"/>
          </m:rPr>
          <m:t>+</m:t>
        </m:r>
        <m:r>
          <m:t>0.015</m:t>
        </m:r>
      </m:oMath>
      <w:r>
        <w:t xml:space="preserve">,</w:t>
      </w:r>
      <w:r>
        <w:t xml:space="preserve"> </w:t>
      </w:r>
      <m:oMath>
        <m:r>
          <m:t>p</m:t>
        </m:r>
        <m:r>
          <m:rPr>
            <m:sty m:val="p"/>
          </m:rPr>
          <m:t>=</m:t>
        </m:r>
        <m:r>
          <m:t>0.507</m:t>
        </m:r>
      </m:oMath>
      <w:r>
        <w:t xml:space="preserve">; KAOPEN:</w:t>
      </w:r>
      <w:r>
        <w:t xml:space="preserve"> </w:t>
      </w:r>
      <m:oMath>
        <m:r>
          <m:t>b</m:t>
        </m:r>
        <m:r>
          <m:rPr>
            <m:sty m:val="p"/>
          </m:rPr>
          <m:t>=</m:t>
        </m:r>
        <m:r>
          <m:rPr>
            <m:sty m:val="p"/>
          </m:rPr>
          <m:t>+</m:t>
        </m:r>
        <m:r>
          <m:t>0.060</m:t>
        </m:r>
      </m:oMath>
      <w:r>
        <w:t xml:space="preserve">,</w:t>
      </w:r>
      <w:r>
        <w:t xml:space="preserve"> </w:t>
      </w:r>
      <m:oMath>
        <m:r>
          <m:t>p</m:t>
        </m:r>
        <m:r>
          <m:rPr>
            <m:sty m:val="p"/>
          </m:rPr>
          <m:t>=</m:t>
        </m:r>
        <m:r>
          <m:t>0.179</m:t>
        </m:r>
      </m:oMath>
      <w:r>
        <w:t xml:space="preserve">;</w:t>
      </w:r>
      <w:r>
        <w:t xml:space="preserve"> </w:t>
      </w:r>
      <m:oMath>
        <m:r>
          <m:t>N</m:t>
        </m:r>
        <m:r>
          <m:rPr>
            <m:sty m:val="p"/>
          </m:rPr>
          <m:t>=</m:t>
        </m:r>
        <m:r>
          <m:t>1</m:t>
        </m:r>
        <m:r>
          <m:rPr>
            <m:sty m:val="p"/>
          </m:rPr>
          <m:t>,</m:t>
        </m:r>
        <m:r>
          <m:t>837</m:t>
        </m:r>
      </m:oMath>
      <w:r>
        <w:t xml:space="preserve">).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7"/>
    <w:bookmarkEnd w:id="38"/>
    <w:bookmarkStart w:id="39"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RE Probit).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+42.4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Sub-Saharan African economies should treat ERS configuration as a first-order inflation risk factor: the estimated SSA ERS APE of −32.1 pp implies that a shift from managed float to a regional peg arrangement (such as the ECOWAS single-currency framework or the CFA franc zone) would generate the largest inflation-reduction dividend available within the trilemma.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Third, the finding that capital account openness (KAOPEN APE = −7.5 pp) disciplines monetary discretion implies that IMF structural-program conditionality focused on capital-account liberalisation in SSA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the planned IV specification using the Shambaugh (2004) base-country peg as instrument for ERS has not been implemented in the current version; the exclusion restriction — that base-country linkages affect chronic inflation only through ERS — relies on historical and political assignment and cannot be tested directly. Fourth, System-GMM estimation (Blundell-Bond, collapsed instruments with lag-3 and lag-4 starts) was attempted but is not reported: Arellano-Bond tests reject at orders 2 (</w:t>
      </w:r>
      <m:oMath>
        <m:r>
          <m:t>z</m:t>
        </m:r>
        <m:r>
          <m:rPr>
            <m:sty m:val="p"/>
          </m:rPr>
          <m:t>=</m:t>
        </m:r>
        <m:r>
          <m:rPr>
            <m:sty m:val="p"/>
          </m:rPr>
          <m:t>−</m:t>
        </m:r>
        <m:r>
          <m:t>1.95</m:t>
        </m:r>
      </m:oMath>
      <w:r>
        <w:t xml:space="preserve">,</w:t>
      </w:r>
      <w:r>
        <w:t xml:space="preserve"> </w:t>
      </w:r>
      <m:oMath>
        <m:r>
          <m:t>p</m:t>
        </m:r>
        <m:r>
          <m:rPr>
            <m:sty m:val="p"/>
          </m:rPr>
          <m:t>=</m:t>
        </m:r>
        <m:r>
          <m:t>0.051</m:t>
        </m:r>
      </m:oMath>
      <w:r>
        <w:t xml:space="preserve">) and 3 (</w:t>
      </w:r>
      <m:oMath>
        <m:r>
          <m:t>z</m:t>
        </m:r>
        <m:r>
          <m:rPr>
            <m:sty m:val="p"/>
          </m:rPr>
          <m:t>=</m:t>
        </m:r>
        <m:r>
          <m:t>2.00</m:t>
        </m:r>
      </m:oMath>
      <w:r>
        <w:t xml:space="preserve">,</w:t>
      </w:r>
      <w:r>
        <w:t xml:space="preserve"> </w:t>
      </w:r>
      <m:oMath>
        <m:r>
          <m:t>p</m:t>
        </m:r>
        <m:r>
          <m:rPr>
            <m:sty m:val="p"/>
          </m:rPr>
          <m:t>=</m:t>
        </m:r>
        <m:r>
          <m:t>0.045</m:t>
        </m:r>
      </m:oMath>
      <w:r>
        <w:t xml:space="preserve">), and the Sargan test fails (</w:t>
      </w:r>
      <m:oMath>
        <m:sSup>
          <m:e>
            <m:r>
              <m:t>χ</m:t>
            </m:r>
          </m:e>
          <m:sup>
            <m:r>
              <m:t>2</m:t>
            </m:r>
          </m:sup>
        </m:sSup>
        <m:r>
          <m:rPr>
            <m:sty m:val="p"/>
          </m:rPr>
          <m:t>(</m:t>
        </m:r>
        <m:r>
          <m:t>10</m:t>
        </m:r>
        <m:r>
          <m:rPr>
            <m:sty m:val="p"/>
          </m:rPr>
          <m:t>)</m:t>
        </m:r>
        <m:r>
          <m:rPr>
            <m:sty m:val="p"/>
          </m:rPr>
          <m:t>=</m:t>
        </m:r>
        <m:r>
          <m:t>28.40</m:t>
        </m:r>
      </m:oMath>
      <w:r>
        <w:t xml:space="preserve">,</w:t>
      </w:r>
      <w:r>
        <w:t xml:space="preserve"> </w:t>
      </w:r>
      <m:oMath>
        <m:r>
          <m:t>p</m:t>
        </m:r>
        <m:r>
          <m:rPr>
            <m:sty m:val="p"/>
          </m:rPr>
          <m:t>=</m:t>
        </m:r>
        <m:r>
          <m:t>0.002</m:t>
        </m:r>
      </m:oMath>
      <w:r>
        <w:t xml:space="preserve">) even under the most conservative lag-3 collapsed specification. Third-order autocorrelation in ln_CPI indicates that valid Blundell-Bond moment conditions cannot be achieved at any standard lag start; the dynamic misspecification likely reflects the long memory of institutional inflation regimes. Notably, ERS remains negative and statistically significant (</w:t>
      </w:r>
      <m:oMath>
        <m:r>
          <m:t>b</m:t>
        </m:r>
        <m:r>
          <m:rPr>
            <m:sty m:val="p"/>
          </m:rPr>
          <m:t>∈</m:t>
        </m:r>
        <m:r>
          <m:rPr>
            <m:sty m:val="p"/>
          </m:rPr>
          <m:t>[</m:t>
        </m:r>
        <m:r>
          <m:rPr>
            <m:sty m:val="p"/>
          </m:rPr>
          <m:t>−</m:t>
        </m:r>
        <m:r>
          <m:t>0.41</m:t>
        </m:r>
        <m:r>
          <m:rPr>
            <m:sty m:val="p"/>
          </m:rPr>
          <m:t>,</m:t>
        </m:r>
        <m:r>
          <m:rPr>
            <m:sty m:val="p"/>
          </m:rPr>
          <m:t>−</m:t>
        </m:r>
        <m:r>
          <m:t>0.52</m:t>
        </m:r>
        <m:r>
          <m:rPr>
            <m:sty m:val="p"/>
          </m:rPr>
          <m:t>]</m:t>
        </m:r>
      </m:oMath>
      <w:r>
        <w:t xml:space="preserve">,</w:t>
      </w:r>
      <w:r>
        <w:t xml:space="preserve"> </w:t>
      </w:r>
      <m:oMath>
        <m:r>
          <m:t>p</m:t>
        </m:r>
        <m:r>
          <m:rPr>
            <m:sty m:val="p"/>
          </m:rPr>
          <m:t>&lt;</m:t>
        </m:r>
        <m:r>
          <m:t>0.001</m:t>
        </m:r>
      </m:oMath>
      <w:r>
        <w:t xml:space="preserve">) across all attempted GMM specifications, corroborating the Probit and FE estimates. Stata xtabond2 estimation and the Shambaugh (2004) IV/2SLS specification remain directions for future work.</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39"/>
    <w:bookmarkStart w:id="80" w:name="references"/>
    <w:p>
      <w:pPr>
        <w:pStyle w:val="Heading1"/>
      </w:pPr>
      <w:r>
        <w:t xml:space="preserve">8. References</w:t>
      </w:r>
    </w:p>
    <w:bookmarkStart w:id="79" w:name="refs"/>
    <w:bookmarkStart w:id="41"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0">
        <w:r>
          <w:rPr>
            <w:rStyle w:val="Hyperlink"/>
          </w:rPr>
          <w:t xml:space="preserve">https://doi.org/10.1016/j.jimonfin.2010.01.005</w:t>
        </w:r>
      </w:hyperlink>
    </w:p>
    <w:bookmarkEnd w:id="41"/>
    <w:bookmarkStart w:id="43"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2">
        <w:r>
          <w:rPr>
            <w:rStyle w:val="Hyperlink"/>
          </w:rPr>
          <w:t xml:space="preserve">https://doi.org/10.1111/roie.12047</w:t>
        </w:r>
      </w:hyperlink>
    </w:p>
    <w:bookmarkEnd w:id="43"/>
    <w:bookmarkStart w:id="45"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4">
        <w:r>
          <w:rPr>
            <w:rStyle w:val="Hyperlink"/>
          </w:rPr>
          <w:t xml:space="preserve">https://doi.org/10.21105/joss.00848</w:t>
        </w:r>
      </w:hyperlink>
    </w:p>
    <w:bookmarkEnd w:id="45"/>
    <w:bookmarkStart w:id="47"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6">
        <w:r>
          <w:rPr>
            <w:rStyle w:val="Hyperlink"/>
          </w:rPr>
          <w:t xml:space="preserve">https://doi.org/10.2139/ssrn.5110065</w:t>
        </w:r>
      </w:hyperlink>
    </w:p>
    <w:bookmarkEnd w:id="47"/>
    <w:bookmarkStart w:id="49"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48">
        <w:r>
          <w:rPr>
            <w:rStyle w:val="Hyperlink"/>
          </w:rPr>
          <w:t xml:space="preserve">https://doi.org/10.1086/261167</w:t>
        </w:r>
      </w:hyperlink>
    </w:p>
    <w:bookmarkEnd w:id="49"/>
    <w:bookmarkStart w:id="50" w:name="ref-cavalloContani1997"/>
    <w:p>
      <w:pPr>
        <w:pStyle w:val="Bibliography"/>
      </w:pPr>
      <w:r>
        <w:t xml:space="preserve">Cavallo, D. F., &amp; Cottani, J. A. (1997). Argentina’s convertibility plan and the</w:t>
      </w:r>
      <w:r>
        <w:t xml:space="preserve"> </w:t>
      </w:r>
      <w:r>
        <w:t xml:space="preserve">IMF</w:t>
      </w:r>
      <w:r>
        <w:t xml:space="preserve">.</w:t>
      </w:r>
      <w:r>
        <w:t xml:space="preserve"> </w:t>
      </w:r>
      <w:r>
        <w:rPr>
          <w:i/>
          <w:iCs/>
        </w:rPr>
        <w:t xml:space="preserve">American Economic Review</w:t>
      </w:r>
      <w:r>
        <w:t xml:space="preserve">,</w:t>
      </w:r>
      <w:r>
        <w:t xml:space="preserve"> </w:t>
      </w:r>
      <w:r>
        <w:rPr>
          <w:i/>
          <w:iCs/>
        </w:rPr>
        <w:t xml:space="preserve">87</w:t>
      </w:r>
      <w:r>
        <w:t xml:space="preserve">(2), 17–22.</w:t>
      </w:r>
    </w:p>
    <w:bookmarkEnd w:id="50"/>
    <w:bookmarkStart w:id="52"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1">
        <w:r>
          <w:rPr>
            <w:rStyle w:val="Hyperlink"/>
          </w:rPr>
          <w:t xml:space="preserve">https://doi.org/10.1016/j.bir.2023.01.009</w:t>
        </w:r>
      </w:hyperlink>
    </w:p>
    <w:bookmarkEnd w:id="52"/>
    <w:bookmarkStart w:id="54"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3">
        <w:r>
          <w:rPr>
            <w:rStyle w:val="Hyperlink"/>
          </w:rPr>
          <w:t xml:space="preserve">https://doi.org/10.18637/jss.v027.i02</w:t>
        </w:r>
      </w:hyperlink>
    </w:p>
    <w:bookmarkEnd w:id="54"/>
    <w:bookmarkStart w:id="56" w:name="ref-delaTorre2003"/>
    <w:p>
      <w:pPr>
        <w:pStyle w:val="Bibliography"/>
      </w:pPr>
      <w:r>
        <w:t xml:space="preserve">De la Torre, A., Levy Yeyati, E., &amp; Schmukler, S. L. (2003). Living and dying with hard pegs: The rise and fall of argentina’s currency board.</w:t>
      </w:r>
      <w:r>
        <w:t xml:space="preserve"> </w:t>
      </w:r>
      <w:r>
        <w:rPr>
          <w:i/>
          <w:iCs/>
        </w:rPr>
        <w:t xml:space="preserve">Econom</w:t>
      </w:r>
      <w:r>
        <w:rPr>
          <w:i/>
          <w:iCs/>
        </w:rPr>
        <w:t xml:space="preserve">í</w:t>
      </w:r>
      <w:r>
        <w:rPr>
          <w:i/>
          <w:iCs/>
        </w:rPr>
        <w:t xml:space="preserve">a</w:t>
      </w:r>
      <w:r>
        <w:t xml:space="preserve">,</w:t>
      </w:r>
      <w:r>
        <w:t xml:space="preserve"> </w:t>
      </w:r>
      <w:r>
        <w:rPr>
          <w:i/>
          <w:iCs/>
        </w:rPr>
        <w:t xml:space="preserve">3</w:t>
      </w:r>
      <w:r>
        <w:t xml:space="preserve">(2), 43–99.</w:t>
      </w:r>
      <w:r>
        <w:t xml:space="preserve"> </w:t>
      </w:r>
      <w:hyperlink r:id="rId55">
        <w:r>
          <w:rPr>
            <w:rStyle w:val="Hyperlink"/>
          </w:rPr>
          <w:t xml:space="preserve">https://doi.org/10.1353/eco.2003.0010</w:t>
        </w:r>
      </w:hyperlink>
    </w:p>
    <w:bookmarkEnd w:id="56"/>
    <w:bookmarkStart w:id="58"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57">
        <w:r>
          <w:rPr>
            <w:rStyle w:val="Hyperlink"/>
          </w:rPr>
          <w:t xml:space="preserve">https://doi.org/10.1162/003465398557825</w:t>
        </w:r>
      </w:hyperlink>
    </w:p>
    <w:bookmarkEnd w:id="58"/>
    <w:bookmarkStart w:id="60"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59">
        <w:r>
          <w:rPr>
            <w:rStyle w:val="Hyperlink"/>
          </w:rPr>
          <w:t xml:space="preserve">https://doi.org/10.1257/jel.40.3.837</w:t>
        </w:r>
      </w:hyperlink>
    </w:p>
    <w:bookmarkEnd w:id="60"/>
    <w:bookmarkStart w:id="62"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61">
        <w:r>
          <w:rPr>
            <w:rStyle w:val="Hyperlink"/>
          </w:rPr>
          <w:t xml:space="preserve">https://doi.org/10.2307/3866091</w:t>
        </w:r>
      </w:hyperlink>
    </w:p>
    <w:bookmarkEnd w:id="62"/>
    <w:bookmarkStart w:id="64"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63">
        <w:r>
          <w:rPr>
            <w:rStyle w:val="Hyperlink"/>
          </w:rPr>
          <w:t xml:space="preserve">https://doi.org/10.32614/RJ-2021-035</w:t>
        </w:r>
      </w:hyperlink>
    </w:p>
    <w:bookmarkEnd w:id="64"/>
    <w:bookmarkStart w:id="66"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65">
        <w:r>
          <w:rPr>
            <w:rStyle w:val="Hyperlink"/>
          </w:rPr>
          <w:t xml:space="preserve">https://doi.org/10.1016/j.jimonfin.2024.103182</w:t>
        </w:r>
      </w:hyperlink>
    </w:p>
    <w:bookmarkEnd w:id="66"/>
    <w:bookmarkStart w:id="68"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67">
        <w:r>
          <w:rPr>
            <w:rStyle w:val="Hyperlink"/>
          </w:rPr>
          <w:t xml:space="preserve">https://doi.org/10.1002/ijfe.2737</w:t>
        </w:r>
      </w:hyperlink>
    </w:p>
    <w:bookmarkEnd w:id="68"/>
    <w:bookmarkStart w:id="70"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69">
        <w:r>
          <w:rPr>
            <w:rStyle w:val="Hyperlink"/>
          </w:rPr>
          <w:t xml:space="preserve">https://doi.org/10.2307/139336</w:t>
        </w:r>
      </w:hyperlink>
    </w:p>
    <w:bookmarkEnd w:id="70"/>
    <w:bookmarkStart w:id="72"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71">
        <w:r>
          <w:rPr>
            <w:rStyle w:val="Hyperlink"/>
          </w:rPr>
          <w:t xml:space="preserve">https://doi.org/10.1002/jae.951</w:t>
        </w:r>
      </w:hyperlink>
    </w:p>
    <w:bookmarkEnd w:id="72"/>
    <w:bookmarkStart w:id="74"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73">
        <w:r>
          <w:rPr>
            <w:rStyle w:val="Hyperlink"/>
          </w:rPr>
          <w:t xml:space="preserve">https://doi.org/10.1162/003355304772839605</w:t>
        </w:r>
      </w:hyperlink>
    </w:p>
    <w:bookmarkEnd w:id="74"/>
    <w:bookmarkStart w:id="76" w:name="ref-sigmundFerstl2021"/>
    <w:p>
      <w:pPr>
        <w:pStyle w:val="Bibliography"/>
      </w:pPr>
      <w:r>
        <w:t xml:space="preserve">Sigmund, M., &amp; Ferstl, R. (2021). Panel vector autoregression in</w:t>
      </w:r>
      <w:r>
        <w:t xml:space="preserve"> </w:t>
      </w:r>
      <w:r>
        <w:t xml:space="preserve">R</w:t>
      </w:r>
      <w:r>
        <w:t xml:space="preserve"> </w:t>
      </w:r>
      <w:r>
        <w:t xml:space="preserve">with the package panelvar.</w:t>
      </w:r>
      <w:r>
        <w:t xml:space="preserve"> </w:t>
      </w:r>
      <w:r>
        <w:rPr>
          <w:i/>
          <w:iCs/>
        </w:rPr>
        <w:t xml:space="preserve">Quarterly Review of Economics and Finance</w:t>
      </w:r>
      <w:r>
        <w:t xml:space="preserve">,</w:t>
      </w:r>
      <w:r>
        <w:t xml:space="preserve"> </w:t>
      </w:r>
      <w:r>
        <w:rPr>
          <w:i/>
          <w:iCs/>
        </w:rPr>
        <w:t xml:space="preserve">80</w:t>
      </w:r>
      <w:r>
        <w:t xml:space="preserve">, 693–720.</w:t>
      </w:r>
      <w:r>
        <w:t xml:space="preserve"> </w:t>
      </w:r>
      <w:hyperlink r:id="rId75">
        <w:r>
          <w:rPr>
            <w:rStyle w:val="Hyperlink"/>
          </w:rPr>
          <w:t xml:space="preserve">https://doi.org/10.1016/j.qref.2019.01.001</w:t>
        </w:r>
      </w:hyperlink>
    </w:p>
    <w:bookmarkEnd w:id="76"/>
    <w:bookmarkStart w:id="78"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77">
        <w:r>
          <w:rPr>
            <w:rStyle w:val="Hyperlink"/>
          </w:rPr>
          <w:t xml:space="preserve">https://doi.org/10.1016/j.jeconom.2004.02.005</w:t>
        </w:r>
      </w:hyperlink>
    </w:p>
    <w:bookmarkEnd w:id="78"/>
    <w:bookmarkEnd w:id="79"/>
    <w:p>
      <w:r>
        <w:pict>
          <v:rect style="width:0;height:1.5pt" o:hralign="center" o:hrstd="t" o:hr="t"/>
        </w:pict>
      </w:r>
    </w:p>
    <w:p>
      <w:pPr>
        <w:pStyle w:val="FirstParagraph"/>
      </w:pPr>
      <w:r>
        <w:rPr>
          <w:i/>
          <w:iCs/>
        </w:rPr>
        <w:t xml:space="preserve">Author contributions (CRediT):</w:t>
      </w:r>
      <w:r>
        <w:t xml:space="preserve"> </w:t>
      </w:r>
      <w:r>
        <w:t xml:space="preserve">Conceptualization, M.G.Ö.; Data curation, M.G.Ö.; Formal analysis, M.G.Ö.; Methodology, M.G.Ö.; Writing – original draft, M.G.Ö.; Writing – review and editing, M.G.Ö.</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4">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67" Target="https://doi.org/10.1002/ijfe.2737" TargetMode="External" /><Relationship Type="http://schemas.openxmlformats.org/officeDocument/2006/relationships/hyperlink" Id="rId71" Target="https://doi.org/10.1002/jae.951" TargetMode="External" /><Relationship Type="http://schemas.openxmlformats.org/officeDocument/2006/relationships/hyperlink" Id="rId51" Target="https://doi.org/10.1016/j.bir.2023.01.009" TargetMode="External" /><Relationship Type="http://schemas.openxmlformats.org/officeDocument/2006/relationships/hyperlink" Id="rId77"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65" Target="https://doi.org/10.1016/j.jimonfin.2024.103182" TargetMode="External" /><Relationship Type="http://schemas.openxmlformats.org/officeDocument/2006/relationships/hyperlink" Id="rId75" Target="https://doi.org/10.1016/j.qref.2019.01.001"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73" Target="https://doi.org/10.1162/003355304772839605" TargetMode="External" /><Relationship Type="http://schemas.openxmlformats.org/officeDocument/2006/relationships/hyperlink" Id="rId57" Target="https://doi.org/10.1162/003465398557825" TargetMode="External" /><Relationship Type="http://schemas.openxmlformats.org/officeDocument/2006/relationships/hyperlink" Id="rId59" Target="https://doi.org/10.1257/jel.40.3.837" TargetMode="External" /><Relationship Type="http://schemas.openxmlformats.org/officeDocument/2006/relationships/hyperlink" Id="rId55" Target="https://doi.org/10.1353/eco.2003.0010" TargetMode="External" /><Relationship Type="http://schemas.openxmlformats.org/officeDocument/2006/relationships/hyperlink" Id="rId53"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69" Target="https://doi.org/10.2307/139336" TargetMode="External" /><Relationship Type="http://schemas.openxmlformats.org/officeDocument/2006/relationships/hyperlink" Id="rId61" Target="https://doi.org/10.2307/3866091" TargetMode="External" /><Relationship Type="http://schemas.openxmlformats.org/officeDocument/2006/relationships/hyperlink" Id="rId63" Target="https://doi.org/10.32614/RJ-2021-035" TargetMode="External" /><Relationship Type="http://schemas.openxmlformats.org/officeDocument/2006/relationships/hyperlink" Id="rId14"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02/ijfe.2737" TargetMode="External" /><Relationship Type="http://schemas.openxmlformats.org/officeDocument/2006/relationships/hyperlink" Id="rId71" Target="https://doi.org/10.1002/jae.951" TargetMode="External" /><Relationship Type="http://schemas.openxmlformats.org/officeDocument/2006/relationships/hyperlink" Id="rId51" Target="https://doi.org/10.1016/j.bir.2023.01.009" TargetMode="External" /><Relationship Type="http://schemas.openxmlformats.org/officeDocument/2006/relationships/hyperlink" Id="rId77"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65" Target="https://doi.org/10.1016/j.jimonfin.2024.103182" TargetMode="External" /><Relationship Type="http://schemas.openxmlformats.org/officeDocument/2006/relationships/hyperlink" Id="rId75" Target="https://doi.org/10.1016/j.qref.2019.01.001"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73" Target="https://doi.org/10.1162/003355304772839605" TargetMode="External" /><Relationship Type="http://schemas.openxmlformats.org/officeDocument/2006/relationships/hyperlink" Id="rId57" Target="https://doi.org/10.1162/003465398557825" TargetMode="External" /><Relationship Type="http://schemas.openxmlformats.org/officeDocument/2006/relationships/hyperlink" Id="rId59" Target="https://doi.org/10.1257/jel.40.3.837" TargetMode="External" /><Relationship Type="http://schemas.openxmlformats.org/officeDocument/2006/relationships/hyperlink" Id="rId55" Target="https://doi.org/10.1353/eco.2003.0010" TargetMode="External" /><Relationship Type="http://schemas.openxmlformats.org/officeDocument/2006/relationships/hyperlink" Id="rId53"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69" Target="https://doi.org/10.2307/139336" TargetMode="External" /><Relationship Type="http://schemas.openxmlformats.org/officeDocument/2006/relationships/hyperlink" Id="rId61" Target="https://doi.org/10.2307/3866091" TargetMode="External" /><Relationship Type="http://schemas.openxmlformats.org/officeDocument/2006/relationships/hyperlink" Id="rId63" Target="https://doi.org/10.32614/RJ-2021-035" TargetMode="External" /><Relationship Type="http://schemas.openxmlformats.org/officeDocument/2006/relationships/hyperlink" Id="rId14"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Res. Asst. Dr. M. Gökhan Özdemir</dc:creator>
  <cp:keywords/>
  <dcterms:created xsi:type="dcterms:W3CDTF">2026-04-28T16:01:04Z</dcterms:created>
  <dcterms:modified xsi:type="dcterms:W3CDTF">2026-04-28T16:01:04Z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one-standard-deviation increase in ERS reduces the chronic-inflation probability by 19.8 percentage points (RE Probit,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2026-04-28</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