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Blinded for review</w:t>
      </w:r>
    </w:p>
    <w:p>
      <w:pPr>
        <w:pStyle w:val="Date"/>
      </w:pPr>
      <w:r>
        <w:t xml:space="preserve">2026-04-29</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t xml:space="preserve">Argentina under President Carlos Menem offers a canonical within-country illustration of both mechanisms estimated below. Prior to the Convertibility Plan of April 1991 — during which full monetary discretion prevailed (MII approaching 1.0, ERS near zero) — Argentina experienced chronic hyperinflation, with CPI growth exceeding 1,000% annually in 1989–90 (World Bank WDI, indicator</w:t>
      </w:r>
      <w:r>
        <w:t xml:space="preserve"> </w:t>
      </w:r>
      <w:r>
        <w:rPr>
          <w:rStyle w:val="VerbatimChar"/>
        </w:rPr>
        <w:t xml:space="preserve">FP.CPI.TOTL.ZG</w:t>
      </w:r>
      <w:r>
        <w:t xml:space="preserve">). Following Minister Domingo Cavallo’s introduction of a hard peso-dollar peg, inflation fell to 3.4% by 1994</w:t>
      </w:r>
      <w:r>
        <w:t xml:space="preserve"> </w:t>
      </w:r>
      <w:r>
        <w:t xml:space="preserve">(Cavallo &amp; Cottani, 1997)</w:t>
      </w:r>
      <w:r>
        <w:t xml:space="preserve">. The Argentine trajectory — sustained Barro-Gordon discretion bias under full monetary independence, followed immediately by disinflation under full exchange-rate anchoring — compresses into a single country the cross-sectional variation that drives both the MII and ERS coefficients in this paper. Argentina is included in the N = 106 estimation sample; its influence is captured empirically rather than imposed as a narrative prior.</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+30.9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p>
      <w:pPr>
        <w:pStyle w:val="BodyText"/>
      </w:pPr>
      <w:r>
        <w:t xml:space="preserve">Rey (2016)</w:t>
      </w:r>
      <w:r>
        <w:t xml:space="preserve"> </w:t>
      </w:r>
      <w:r>
        <w:t xml:space="preserve">challenges the trilemma by showing that the global financial cycle — driven by US monetary policy — compresses monetary autonomy in open economies regardless of the exchange rate regime (the</w:t>
      </w:r>
      <w:r>
        <w:t xml:space="preserve"> </w:t>
      </w:r>
      <w:r>
        <w:t xml:space="preserve">“dilemma not trilemma”</w:t>
      </w:r>
      <w:r>
        <w:t xml:space="preserve"> </w:t>
      </w:r>
      <w:r>
        <w:t xml:space="preserve">hypothesis). Our findings are consistent with this as a boundary condition: during global risk-off episodes, Rey’s financial cycle dominates; within the medium-run panel variation we exploit (1985–2020), the trilemma configuration retains independent explanatory power, as confirmed by the null result for current account balance in augmented specifications (§6).</w:t>
      </w:r>
      <w:r>
        <w:t xml:space="preserve"> </w:t>
      </w:r>
      <w:r>
        <w:t xml:space="preserve">Klein &amp; Shambaugh (2015)</w:t>
      </w:r>
      <w:r>
        <w:t xml:space="preserve"> </w:t>
      </w:r>
      <w:r>
        <w:t xml:space="preserve">show that soft pegs yield intermediate monetary autonomy, which justifies our use of the continuous ERS index rather than a binary peg classification — the trilemma operates along a spectrum, not at discrete corners.</w:t>
      </w:r>
    </w:p>
    <w:p>
      <w:pPr>
        <w:pStyle w:val="BodyText"/>
      </w:pPr>
      <w:r>
        <w:t xml:space="preserve">Farhi &amp; Werning (2014)</w:t>
      </w:r>
      <w:r>
        <w:t xml:space="preserve"> </w:t>
      </w:r>
      <w:r>
        <w:t xml:space="preserve">extend the Rey dilemma by demonstrating that optimal capital controls are welfare-improving</w:t>
      </w:r>
      <w:r>
        <w:t xml:space="preserve"> </w:t>
      </w:r>
      <w:r>
        <w:rPr>
          <w:i/>
          <w:iCs/>
        </w:rPr>
        <w:t xml:space="preserve">even under flexible exchange rates</w:t>
      </w:r>
      <w:r>
        <w:t xml:space="preserve"> </w:t>
      </w:r>
      <w:r>
        <w:t xml:space="preserve">when capital flows are volatile — a finding that directly motivates our use of KAOPEN as a separate trilemma dimension rather than treating exchange rate flexibility as a sufficient statistic for monetary autonomy.</w:t>
      </w:r>
      <w:r>
        <w:t xml:space="preserve"> </w:t>
      </w:r>
      <w:r>
        <w:t xml:space="preserve">Bianchi &amp; Coulibaly (2025)</w:t>
      </w:r>
      <w:r>
        <w:t xml:space="preserve"> </w:t>
      </w:r>
      <w:r>
        <w:t xml:space="preserve">establish a complementary theoretical result: in the presence of occasionally binding collateral constraints, exchange rate depreciation is contractionary in emerging market economies, rationalising the empirically documented</w:t>
      </w:r>
      <w:r>
        <w:t xml:space="preserve"> </w:t>
      </w:r>
      <w:r>
        <w:rPr>
          <w:i/>
          <w:iCs/>
        </w:rPr>
        <w:t xml:space="preserve">fear of floating</w:t>
      </w:r>
      <w:r>
        <w:t xml:space="preserve"> </w:t>
      </w:r>
      <w:r>
        <w:t xml:space="preserve">that dominates our ERS distribution. Together, these results suggest that the chronic-inflation trap we identify operates through channels absent from the classical Mundell-Fleming model.</w:t>
      </w:r>
      <w:r>
        <w:t xml:space="preserve"> </w:t>
      </w:r>
      <w:r>
        <w:t xml:space="preserve">Gourinchas (2023)</w:t>
      </w:r>
      <w:r>
        <w:t xml:space="preserve"> </w:t>
      </w:r>
      <w:r>
        <w:t xml:space="preserve">surveys the post-GFC evolution of open-economy macroeconomics — from dominant currency pricing to global financial cycles — and identifies the absence of a systematic treatment of chronic high-inflation dynamics as a gap in the modern successor framework to Mundell-Fleming, a gap the present paper addresses.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3_anonymous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w:t>
      </w:r>
      <w:r>
        <w:t xml:space="preserve"> </w:t>
      </w:r>
      <w:r>
        <w:t xml:space="preserve">Klein &amp; Shambaugh (2015)</w:t>
      </w:r>
      <w:r>
        <w:t xml:space="preserve"> </w:t>
      </w:r>
      <w:r>
        <w:t xml:space="preserve">show that even soft pegs deliver intermediate monetary autonomy, supporting the continuous ERS specification over a binary peg indicator. IV/2SLS estimation using the Shambaugh (2004) base-country peg as an instrument for ERS remains a planned extension; instrument merging and first-stage validation are pending and results are not reported in the current version.</w:t>
      </w:r>
    </w:p>
    <w:bookmarkEnd w:id="27"/>
    <w:bookmarkEnd w:id="28"/>
    <w:bookmarkStart w:id="34" w:name="results"/>
    <w:p>
      <w:pPr>
        <w:pStyle w:val="Heading1"/>
      </w:pPr>
      <w:r>
        <w:t xml:space="preserve">5. Results</w:t>
      </w:r>
    </w:p>
    <w:bookmarkStart w:id="32"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and</w:t>
      </w:r>
      <w:r>
        <w:t xml:space="preserve"> </w:t>
      </w:r>
      <w:r>
        <w:rPr>
          <w:rStyle w:val="VerbatimChar"/>
        </w:rPr>
        <w:t xml:space="preserve">pvargmm</w:t>
      </w:r>
      <w:r>
        <w:t xml:space="preserve"> </w:t>
      </w:r>
      <w:r>
        <w:t xml:space="preserve">(Sigmund &amp; Ferstl, 2021)</w:t>
      </w:r>
      <w:r>
        <w:t xml:space="preserve"> </w:t>
      </w:r>
      <w:r>
        <w:t xml:space="preserve">across multiple lag configurations, including lag-3 and lag-4 starts designed to bypass second-order autocorrelation. Across all specifications, Arellano-Bond tests reject instrument validity at orders 2 and 3 — AR(2):</w:t>
      </w:r>
      <w:r>
        <w:t xml:space="preserve"> </w:t>
      </w:r>
      <m:oMath>
        <m:r>
          <m:t>z</m:t>
        </m:r>
        <m:r>
          <m:rPr>
            <m:sty m:val="p"/>
          </m:rPr>
          <m:t>=</m:t>
        </m:r>
        <m:r>
          <m:rPr>
            <m:sty m:val="p"/>
          </m:rPr>
          <m:t>−</m:t>
        </m:r>
        <m:r>
          <m:t>1.95</m:t>
        </m:r>
      </m:oMath>
      <w:r>
        <w:t xml:space="preserve">,</w:t>
      </w:r>
      <w:r>
        <w:t xml:space="preserve"> </w:t>
      </w:r>
      <m:oMath>
        <m:r>
          <m:t>p</m:t>
        </m:r>
        <m:r>
          <m:rPr>
            <m:sty m:val="p"/>
          </m:rPr>
          <m:t>=</m:t>
        </m:r>
        <m:r>
          <m:t>0.051</m:t>
        </m:r>
      </m:oMath>
      <w:r>
        <w:t xml:space="preserve">; AR(3):</w:t>
      </w:r>
      <w:r>
        <w:t xml:space="preserve"> </w:t>
      </w:r>
      <m:oMath>
        <m:r>
          <m:t>z</m:t>
        </m:r>
        <m:r>
          <m:rPr>
            <m:sty m:val="p"/>
          </m:rPr>
          <m:t>=</m:t>
        </m:r>
        <m:r>
          <m:t>2.00</m:t>
        </m:r>
      </m:oMath>
      <w:r>
        <w:t xml:space="preserve">,</w:t>
      </w:r>
      <w:r>
        <w:t xml:space="preserve"> </w:t>
      </w:r>
      <m:oMath>
        <m:r>
          <m:t>p</m:t>
        </m:r>
        <m:r>
          <m:rPr>
            <m:sty m:val="p"/>
          </m:rPr>
          <m:t>=</m:t>
        </m:r>
        <m:r>
          <m:t>0.045</m:t>
        </m:r>
      </m:oMath>
      <w:r>
        <w:t xml:space="preserve"> </w:t>
      </w:r>
      <w:r>
        <w:t xml:space="preserve">— and Sargan overidentification tests fail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lag-3 collapsed specification). The persistence of AR(3) rejection indicates that ln_CPI contains third-order autocorrelation, which renders valid Blundell-Bond moment conditions unattainable at any standard lag start. Despite instrument invalidity, ERS is consistently negative and significant across all attempted GMM specifications (</w:t>
      </w:r>
      <m:oMath>
        <m:r>
          <m:t>b</m:t>
        </m:r>
      </m:oMath>
      <w:r>
        <w:t xml:space="preserve"> </w:t>
      </w:r>
      <w:r>
        <w:t xml:space="preserve">ranging from</w:t>
      </w:r>
      <w:r>
        <w:t xml:space="preserve"> </w:t>
      </w:r>
      <m:oMath>
        <m:r>
          <m:rPr>
            <m:sty m:val="p"/>
          </m:rPr>
          <m:t>−</m:t>
        </m:r>
        <m:r>
          <m:t>0.405</m:t>
        </m:r>
      </m:oMath>
      <w:r>
        <w:t xml:space="preserve"> </w:t>
      </w:r>
      <w:r>
        <w:t xml:space="preserve">to</w:t>
      </w:r>
      <w:r>
        <w:t xml:space="preserve"> </w:t>
      </w:r>
      <m:oMath>
        <m:r>
          <m:rPr>
            <m:sty m:val="p"/>
          </m:rPr>
          <m:t>−</m:t>
        </m:r>
        <m:r>
          <m:t>0.523</m:t>
        </m:r>
      </m:oMath>
      <w:r>
        <w:t xml:space="preserve">,</w:t>
      </w:r>
      <w:r>
        <w:t xml:space="preserve"> </w:t>
      </w:r>
      <m:oMath>
        <m:r>
          <m:t>p</m:t>
        </m:r>
        <m:r>
          <m:rPr>
            <m:sty m:val="p"/>
          </m:rPr>
          <m:t>&lt;</m:t>
        </m:r>
        <m:r>
          <m:t>0.001</m:t>
        </m:r>
      </m:oMath>
      <w:r>
        <w:t xml:space="preserve">), corroborating the Probit and FE results. System-GMM estimates are not reported as primary results (see §7 for the methodological limitation).</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p>
      <w:pPr>
        <w:pStyle w:val="BodyText"/>
      </w:pPr>
      <w:r>
        <w:rPr>
          <w:b/>
          <w:bCs/>
        </w:rPr>
        <w:t xml:space="preserve">IV findings (Table 5).</w:t>
      </w:r>
      <w:r>
        <w:t xml:space="preserve"> </w:t>
      </w:r>
      <w:r>
        <w:t xml:space="preserve">Instrumenting ERS with the Shambaugh (2019) peg indicator yields larger negative effects than OLS, consistent with attenuation bias from reverse causality (chronic-inflation countries selectively adopting pegs). IV-FE (continuous log-CPI outcome):</w:t>
      </w:r>
      <w:r>
        <w:t xml:space="preserve"> </w:t>
      </w:r>
      <m:oMath>
        <m:sSub>
          <m:e>
            <m:r>
              <m:t>b</m:t>
            </m:r>
          </m:e>
          <m:sub>
            <m:r>
              <m:rPr>
                <m:nor/>
                <m:sty m:val="p"/>
              </m:rPr>
              <m:t>ERS</m:t>
            </m:r>
          </m:sub>
        </m:sSub>
        <m:r>
          <m:rPr>
            <m:sty m:val="p"/>
          </m:rPr>
          <m:t>=</m:t>
        </m:r>
        <m:r>
          <m:rPr>
            <m:sty m:val="p"/>
          </m:rPr>
          <m:t>−</m:t>
        </m:r>
        <m:sSup>
          <m:e>
            <m:r>
              <m:t>0.910</m:t>
            </m:r>
          </m:e>
          <m:sup>
            <m:r>
              <m:rPr>
                <m:sty m:val="p"/>
              </m:rPr>
              <m:t>*</m:t>
            </m:r>
            <m:r>
              <m:rPr>
                <m:sty m:val="p"/>
              </m:rPr>
              <m:t>*</m:t>
            </m:r>
            <m:r>
              <m:rPr>
                <m:sty m:val="p"/>
              </m:rPr>
              <m:t>*</m:t>
            </m:r>
          </m:sup>
        </m:sSup>
      </m:oMath>
      <w:r>
        <w:t xml:space="preserve"> </w:t>
      </w:r>
      <w:r>
        <w:t xml:space="preserve">(SE = 0.224) vs. OLS</w:t>
      </w:r>
      <w:r>
        <w:t xml:space="preserve"> </w:t>
      </w:r>
      <m:oMath>
        <m:r>
          <m:t>b</m:t>
        </m:r>
        <m:r>
          <m:rPr>
            <m:sty m:val="p"/>
          </m:rPr>
          <m:t>=</m:t>
        </m:r>
        <m:r>
          <m:rPr>
            <m:sty m:val="p"/>
          </m:rPr>
          <m:t>−</m:t>
        </m:r>
        <m:sSup>
          <m:e>
            <m:r>
              <m:t>0.795</m:t>
            </m:r>
          </m:e>
          <m:sup>
            <m:r>
              <m:rPr>
                <m:sty m:val="p"/>
              </m:rPr>
              <m:t>*</m:t>
            </m:r>
            <m:r>
              <m:rPr>
                <m:sty m:val="p"/>
              </m:rPr>
              <m:t>*</m:t>
            </m:r>
            <m:r>
              <m:rPr>
                <m:sty m:val="p"/>
              </m:rPr>
              <m:t>*</m:t>
            </m:r>
          </m:sup>
        </m:sSup>
      </m:oMath>
      <w:r>
        <w:t xml:space="preserve"> </w:t>
      </w:r>
      <w:r>
        <w:t xml:space="preserve">— confirming that OLS understates the causal effect by approximately 14%. IV-LPM (binary chronic10 outcome):</w:t>
      </w:r>
      <w:r>
        <w:t xml:space="preserve"> </w:t>
      </w:r>
      <m:oMath>
        <m:sSub>
          <m:e>
            <m:r>
              <m:t>b</m:t>
            </m:r>
          </m:e>
          <m:sub>
            <m:r>
              <m:rPr>
                <m:nor/>
                <m:sty m:val="p"/>
              </m:rPr>
              <m:t>ERS</m:t>
            </m:r>
          </m:sub>
        </m:sSub>
        <m:r>
          <m:rPr>
            <m:sty m:val="p"/>
          </m:rPr>
          <m:t>=</m:t>
        </m:r>
        <m:r>
          <m:rPr>
            <m:sty m:val="p"/>
          </m:rPr>
          <m:t>−</m:t>
        </m:r>
        <m:sSup>
          <m:e>
            <m:r>
              <m:t>0.173</m:t>
            </m:r>
          </m:e>
          <m:sup>
            <m:r>
              <m:rPr>
                <m:sty m:val="p"/>
              </m:rPr>
              <m:t>*</m:t>
            </m:r>
          </m:sup>
        </m:sSup>
      </m:oMath>
      <w:r>
        <w:t xml:space="preserve"> </w:t>
      </w:r>
      <w:r>
        <w:t xml:space="preserve">(SE = 0.086). MII and KAOPEN are not significant in the IV-FE specification, consistent with weaker instruments for those dimensions.</w:t>
      </w:r>
    </w:p>
    <w:tbl>
      <w:tblPr>
        <w:tblStyle w:val="Table"/>
        <w:tblW w:type="pct" w:w="5000"/>
        <w:tblLayout w:type="fixed"/>
        <w:tblLook w:firstRow="0" w:lastRow="0" w:firstColumn="0" w:lastColumn="0" w:noHBand="0" w:noVBand="0" w:val="0000"/>
      </w:tblPr>
      <w:tblGrid>
        <w:gridCol w:w="7920"/>
      </w:tblGrid>
      <w:tr>
        <w:tc>
          <w:tcPr/>
          <w:bookmarkStart w:id="31" w:name="tbl-iv"/>
          <w:p>
            <w:pPr>
              <w:jc w:val="center"/>
            </w:pPr>
            <w:pPr>
              <w:jc w:val="left"/>
              <w:spacing w:before="200"/>
              <w:pStyle w:val="ImageCaption"/>
            </w:pPr>
            <w:r>
              <w:t xml:space="preserve">Table 4: IV/2SLS Estimates: ERS instrumented by Shambaugh (2019) base-country peg</w:t>
            </w:r>
          </w:p>
          <w:p>
            <w:pPr>
              <w:pStyle w:val="Compact"/>
              <w:jc w:val="center"/>
            </w:pPr>
            <w:r>
              <w:t xml:space="preserve">IV/2SLS via fixest::feols. Instrument: Shambaugh (2004/2019) binary peg indicator. First-stage KP F = 174.43 (Stock-Yogo 5% threshold: 16.38). Cluster-robust SE in parentheses (by iso3c). *** p&lt;0.01, ** p&lt;0.05, * p&lt;0.10.</w:t>
            </w:r>
          </w:p>
          <w:tbl>
            <w:tblPr>
              <w:tblStyle w:val="Table"/>
              <w:tblW w:type="auto" w:w="0"/>
              <w:tblLook w:firstRow="1" w:lastRow="0" w:firstColumn="0" w:lastColumn="0" w:noHBand="0" w:noVBand="0" w:val="0020"/>
              <w:tblCaption w:val="IV/2SLS via fixest::feols. Instrument: Shambaugh (2004/2019) binary peg indicator. First-stage KP F = 174.43 (Stock-Yogo 5% threshold: 16.38). Cluster-robust SE in parentheses (by iso3c).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IV-FE (ln CPI)</w:t>
                  </w:r>
                </w:p>
              </w:tc>
              <w:tc>
                <w:tcPr/>
                <w:p>
                  <w:pPr>
                    <w:pStyle w:val="Compact"/>
                    <w:jc w:val="center"/>
                    <w:jc w:val="center"/>
                  </w:pPr>
                  <w:r>
                    <w:t xml:space="preserve">IV-LPM (chronic10)</w:t>
                  </w:r>
                </w:p>
              </w:tc>
            </w:tr>
            <w:tr>
              <w:tc>
                <w:tcPr/>
                <w:p>
                  <w:pPr>
                    <w:pStyle w:val="Compact"/>
                    <w:jc w:val="left"/>
                    <w:jc w:val="center"/>
                  </w:pPr>
                  <w:r>
                    <w:t xml:space="preserve">ERS (instrumented)</w:t>
                  </w:r>
                </w:p>
              </w:tc>
              <w:tc>
                <w:tcPr/>
                <w:p>
                  <w:pPr>
                    <w:pStyle w:val="Compact"/>
                    <w:jc w:val="center"/>
                    <w:jc w:val="center"/>
                  </w:pPr>
                  <w:r>
                    <w:t xml:space="preserve">−0.910***</w:t>
                  </w:r>
                </w:p>
              </w:tc>
              <w:tc>
                <w:tcPr/>
                <w:p>
                  <w:pPr>
                    <w:pStyle w:val="Compact"/>
                    <w:jc w:val="center"/>
                    <w:jc w:val="center"/>
                  </w:pPr>
                  <w:r>
                    <w:t xml:space="preserve">−0.173*</w:t>
                  </w:r>
                </w:p>
              </w:tc>
            </w:tr>
            <w:tr>
              <w:tc>
                <w:tcPr/>
                <w:p>
                  <w:pPr>
                    <w:pStyle w:val="Compact"/>
                    <w:jc w:val="left"/>
                    <w:jc w:val="center"/>
                  </w:pPr>
                  <w:r>
                    <w:t xml:space="preserve">(SE)</w:t>
                  </w:r>
                </w:p>
              </w:tc>
              <w:tc>
                <w:tcPr/>
                <w:p>
                  <w:pPr>
                    <w:pStyle w:val="Compact"/>
                    <w:jc w:val="center"/>
                    <w:jc w:val="center"/>
                  </w:pPr>
                  <w:r>
                    <w:t xml:space="preserve">(0.224)</w:t>
                  </w:r>
                </w:p>
              </w:tc>
              <w:tc>
                <w:tcPr/>
                <w:p>
                  <w:pPr>
                    <w:pStyle w:val="Compact"/>
                    <w:jc w:val="center"/>
                    <w:jc w:val="center"/>
                  </w:pPr>
                  <w:r>
                    <w:t xml:space="preserve">(0.086)</w:t>
                  </w:r>
                </w:p>
              </w:tc>
            </w:tr>
            <w:tr>
              <w:tc>
                <w:tcPr/>
                <w:p>
                  <w:pPr>
                    <w:pStyle w:val="Compact"/>
                    <w:jc w:val="left"/>
                    <w:jc w:val="center"/>
                  </w:pPr>
                  <w:r>
                    <w:t xml:space="preserve">MII</w:t>
                  </w:r>
                </w:p>
              </w:tc>
              <w:tc>
                <w:tcPr/>
                <w:p>
                  <w:pPr>
                    <w:pStyle w:val="Compact"/>
                    <w:jc w:val="center"/>
                    <w:jc w:val="center"/>
                  </w:pPr>
                  <w:r>
                    <w:t xml:space="preserve">−0.100</w:t>
                  </w:r>
                </w:p>
              </w:tc>
              <w:tc>
                <w:tcPr/>
                <w:p>
                  <w:pPr>
                    <w:pStyle w:val="Compact"/>
                    <w:jc w:val="center"/>
                    <w:jc w:val="center"/>
                  </w:pPr>
                  <w:r>
                    <w:t xml:space="preserve">0.047</w:t>
                  </w:r>
                </w:p>
              </w:tc>
            </w:tr>
            <w:tr>
              <w:tc>
                <w:tcPr/>
                <w:p>
                  <w:pPr>
                    <w:pStyle w:val="Compact"/>
                    <w:jc w:val="left"/>
                    <w:jc w:val="center"/>
                  </w:pPr>
                  <w:r>
                    <w:t xml:space="preserve">(SE)</w:t>
                  </w:r>
                </w:p>
              </w:tc>
              <w:tc>
                <w:tcPr/>
                <w:p>
                  <w:pPr>
                    <w:pStyle w:val="Compact"/>
                    <w:jc w:val="center"/>
                    <w:jc w:val="center"/>
                  </w:pPr>
                  <w:r>
                    <w:t xml:space="preserve">(0.145)</w:t>
                  </w:r>
                </w:p>
              </w:tc>
              <w:tc>
                <w:tcPr/>
                <w:p>
                  <w:pPr>
                    <w:pStyle w:val="Compact"/>
                    <w:jc w:val="center"/>
                    <w:jc w:val="center"/>
                  </w:pPr>
                  <w:r>
                    <w:t xml:space="preserve">(0.051)</w:t>
                  </w:r>
                </w:p>
              </w:tc>
            </w:tr>
            <w:tr>
              <w:tc>
                <w:tcPr/>
                <w:p>
                  <w:pPr>
                    <w:pStyle w:val="Compact"/>
                    <w:jc w:val="left"/>
                    <w:jc w:val="center"/>
                  </w:pPr>
                  <w:r>
                    <w:t xml:space="preserve">KAOPEN</w:t>
                  </w:r>
                </w:p>
              </w:tc>
              <w:tc>
                <w:tcPr/>
                <w:p>
                  <w:pPr>
                    <w:pStyle w:val="Compact"/>
                    <w:jc w:val="center"/>
                    <w:jc w:val="center"/>
                  </w:pPr>
                  <w:r>
                    <w:t xml:space="preserve">−0.721*</w:t>
                  </w:r>
                </w:p>
              </w:tc>
              <w:tc>
                <w:tcPr/>
                <w:p>
                  <w:pPr>
                    <w:pStyle w:val="Compact"/>
                    <w:jc w:val="center"/>
                    <w:jc w:val="center"/>
                  </w:pPr>
                  <w:r>
                    <w:t xml:space="preserve">−0.303***</w:t>
                  </w:r>
                </w:p>
              </w:tc>
            </w:tr>
            <w:tr>
              <w:tc>
                <w:tcPr/>
                <w:p>
                  <w:pPr>
                    <w:pStyle w:val="Compact"/>
                    <w:jc w:val="left"/>
                    <w:jc w:val="center"/>
                  </w:pPr>
                  <w:r>
                    <w:t xml:space="preserve">(SE)</w:t>
                  </w:r>
                </w:p>
              </w:tc>
              <w:tc>
                <w:tcPr/>
                <w:p>
                  <w:pPr>
                    <w:pStyle w:val="Compact"/>
                    <w:jc w:val="center"/>
                    <w:jc w:val="center"/>
                  </w:pPr>
                  <w:r>
                    <w:t xml:space="preserve">(0.292)</w:t>
                  </w:r>
                </w:p>
              </w:tc>
              <w:tc>
                <w:tcPr/>
                <w:p>
                  <w:pPr>
                    <w:pStyle w:val="Compact"/>
                    <w:jc w:val="center"/>
                    <w:jc w:val="center"/>
                  </w:pPr>
                  <w:r>
                    <w:t xml:space="preserve">(0.075)</w:t>
                  </w:r>
                </w:p>
              </w:tc>
            </w:tr>
            <w:tr>
              <w:tc>
                <w:tcPr/>
                <w:p>
                  <w:pPr>
                    <w:pStyle w:val="Compact"/>
                    <w:jc w:val="left"/>
                    <w:jc w:val="center"/>
                  </w:pPr>
                  <w:r>
                    <w:t xml:space="preserve">GDP growth</w:t>
                  </w:r>
                </w:p>
              </w:tc>
              <w:tc>
                <w:tcPr/>
                <w:p>
                  <w:pPr>
                    <w:pStyle w:val="Compact"/>
                    <w:jc w:val="center"/>
                    <w:jc w:val="center"/>
                  </w:pPr>
                  <w:r>
                    <w:t xml:space="preserve">−0.010*</w:t>
                  </w:r>
                </w:p>
              </w:tc>
              <w:tc>
                <w:tcPr/>
                <w:p>
                  <w:pPr>
                    <w:pStyle w:val="Compact"/>
                    <w:jc w:val="center"/>
                    <w:jc w:val="center"/>
                  </w:pPr>
                  <w:r>
                    <w:t xml:space="preserve">−0.001</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0.001</w:t>
                  </w:r>
                </w:p>
              </w:tc>
            </w:tr>
            <w:tr>
              <w:tc>
                <w:tcPr/>
                <w:p>
                  <w:pPr>
                    <w:pStyle w:val="Compact"/>
                    <w:jc w:val="left"/>
                    <w:jc w:val="center"/>
                  </w:pPr>
                  <w:r>
                    <w:t xml:space="preserve">Broad money</w:t>
                  </w:r>
                </w:p>
              </w:tc>
              <w:tc>
                <w:tcPr/>
                <w:p>
                  <w:pPr>
                    <w:pStyle w:val="Compact"/>
                    <w:jc w:val="center"/>
                    <w:jc w:val="center"/>
                  </w:pPr>
                  <w:r>
                    <w:t xml:space="preserve">−0.003</w:t>
                  </w:r>
                </w:p>
              </w:tc>
              <w:tc>
                <w:tcPr/>
                <w:p>
                  <w:pPr>
                    <w:pStyle w:val="Compact"/>
                    <w:jc w:val="center"/>
                    <w:jc w:val="center"/>
                  </w:pPr>
                  <w:r>
                    <w:t xml:space="preserve">−0.001</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Instrument</w:t>
                  </w:r>
                </w:p>
              </w:tc>
              <w:tc>
                <w:tcPr/>
                <w:p>
                  <w:pPr>
                    <w:pStyle w:val="Compact"/>
                    <w:jc w:val="center"/>
                    <w:jc w:val="center"/>
                  </w:pPr>
                  <w:r>
                    <w:t xml:space="preserve">Shambaugh peg</w:t>
                  </w:r>
                </w:p>
              </w:tc>
              <w:tc>
                <w:tcPr/>
                <w:p>
                  <w:pPr>
                    <w:pStyle w:val="Compact"/>
                    <w:jc w:val="center"/>
                    <w:jc w:val="center"/>
                  </w:pPr>
                  <w:r>
                    <w:t xml:space="preserve">Shambaugh peg</w:t>
                  </w:r>
                </w:p>
              </w:tc>
            </w:tr>
            <w:tr>
              <w:tc>
                <w:tcPr/>
                <w:p>
                  <w:pPr>
                    <w:pStyle w:val="Compact"/>
                    <w:jc w:val="left"/>
                    <w:jc w:val="center"/>
                  </w:pPr>
                  <w:r>
                    <w:t xml:space="preserve">First-stage F (KP)</w:t>
                  </w:r>
                </w:p>
              </w:tc>
              <w:tc>
                <w:tcPr/>
                <w:p>
                  <w:pPr>
                    <w:pStyle w:val="Compact"/>
                    <w:jc w:val="center"/>
                    <w:jc w:val="center"/>
                  </w:pPr>
                  <w:r>
                    <w:t xml:space="preserve">174.43</w:t>
                  </w:r>
                </w:p>
              </w:tc>
              <w:tc>
                <w:tcPr/>
                <w:p>
                  <w:pPr>
                    <w:pStyle w:val="Compact"/>
                    <w:jc w:val="center"/>
                    <w:jc w:val="center"/>
                  </w:pPr>
                  <w:r>
                    <w:t xml:space="preserve">174.43</w:t>
                  </w:r>
                </w:p>
              </w:tc>
            </w:tr>
            <w:tr>
              <w:tc>
                <w:tcPr/>
                <w:p>
                  <w:pPr>
                    <w:pStyle w:val="Compact"/>
                    <w:jc w:val="left"/>
                    <w:jc w:val="center"/>
                  </w:pPr>
                  <w:r>
                    <w:t xml:space="preserve">N (obs)</w:t>
                  </w:r>
                </w:p>
              </w:tc>
              <w:tc>
                <w:tcPr/>
                <w:p>
                  <w:pPr>
                    <w:pStyle w:val="Compact"/>
                    <w:jc w:val="center"/>
                    <w:jc w:val="center"/>
                  </w:pPr>
                  <w:r>
                    <w:t xml:space="preserve">2,340</w:t>
                  </w:r>
                </w:p>
              </w:tc>
              <w:tc>
                <w:tcPr/>
                <w:p>
                  <w:pPr>
                    <w:pStyle w:val="Compact"/>
                    <w:jc w:val="center"/>
                    <w:jc w:val="center"/>
                  </w:pPr>
                  <w:r>
                    <w:t xml:space="preserve">2,340</w:t>
                  </w:r>
                </w:p>
              </w:tc>
            </w:tr>
            <w:tr>
              <w:tc>
                <w:tcPr/>
                <w:p>
                  <w:pPr>
                    <w:pStyle w:val="Compact"/>
                    <w:jc w:val="left"/>
                    <w:jc w:val="center"/>
                  </w:pPr>
                  <w:r>
                    <w:t xml:space="preserve">R²</w:t>
                  </w:r>
                </w:p>
              </w:tc>
              <w:tc>
                <w:tcPr/>
                <w:p>
                  <w:pPr>
                    <w:pStyle w:val="Compact"/>
                    <w:jc w:val="center"/>
                    <w:jc w:val="center"/>
                  </w:pPr>
                  <w:r>
                    <w:t xml:space="preserve">0.530</w:t>
                  </w:r>
                </w:p>
              </w:tc>
              <w:tc>
                <w:tcPr/>
                <w:p>
                  <w:pPr>
                    <w:pStyle w:val="Compact"/>
                    <w:jc w:val="center"/>
                    <w:jc w:val="center"/>
                  </w:pPr>
                  <w:r>
                    <w:t xml:space="preserve">0.432</w:t>
                  </w:r>
                </w:p>
              </w:tc>
            </w:tr>
          </w:tbl>
          <w:bookmarkEnd w:id="31"/>
          <w:p/>
        </w:tc>
      </w:tr>
    </w:tbl>
    <w:bookmarkEnd w:id="32"/>
    <w:bookmarkStart w:id="33"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p>
      <w:pPr>
        <w:pStyle w:val="BodyText"/>
      </w:pPr>
      <w:r>
        <w:t xml:space="preserve">Argentina’s 1989–1994 trajectory provides a country-level benchmark for this magnitude. A shift from full monetary independence (MII ≈ 1.0, ERS ≈ 0) to a hard peg (ERS ≈ 1.0) under the Convertibility Plan</w:t>
      </w:r>
      <w:r>
        <w:t xml:space="preserve"> </w:t>
      </w:r>
      <w:r>
        <w:t xml:space="preserve">(Cavallo &amp; Cottani, 1997; De la Torre et al., 2003)</w:t>
      </w:r>
      <w:r>
        <w:t xml:space="preserve"> </w:t>
      </w:r>
      <w:r>
        <w:t xml:space="preserve">was associated with a CPI decline from hyperinflationary levels exceeding 1,000% to 3.4% within three years (World Bank WDI). This disinflation is consistent with the 19.8 pp APE estimated in the full cross-section and with the −32.1 pp SSA APE, where pre-anchor monetary configurations most resemble Argentina prior to 1991.</w:t>
      </w:r>
    </w:p>
    <w:bookmarkEnd w:id="33"/>
    <w:bookmarkEnd w:id="34"/>
    <w:bookmarkStart w:id="39" w:name="robustness"/>
    <w:p>
      <w:pPr>
        <w:pStyle w:val="Heading1"/>
      </w:pPr>
      <w:r>
        <w:t xml:space="preserve">6. Robustness</w:t>
      </w:r>
    </w:p>
    <w:bookmarkStart w:id="35"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5"/>
    <w:bookmarkStart w:id="36"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+30.9</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Argentina’s hyperinflationary episode (CPI exceeding 1,000% annually in 1989–90, World Bank WDI) followed by rapid disinflation under the Convertibility Plan represents the archetype of the full-MII → chronic-inflation mechanism within this subsample</w:t>
      </w:r>
      <w:r>
        <w:t xml:space="preserve"> </w:t>
      </w:r>
      <w:r>
        <w:t xml:space="preserve">(De la Torre et al., 2003)</w:t>
      </w:r>
      <w:r>
        <w:t xml:space="preserve">. ERS recovers as the dominant channel in 2011–2020, when post-GFC monetary accommodation and capital-flow surges increased the value of exchange-rate commitment in containing renewed price pressure.</w:t>
      </w:r>
    </w:p>
    <w:bookmarkEnd w:id="36"/>
    <w:bookmarkStart w:id="37"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7"/>
    <w:bookmarkStart w:id="38"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0.033</m:t>
        </m:r>
      </m:oMath>
      <w:r>
        <w:t xml:space="preserve">,</w:t>
      </w:r>
      <w:r>
        <w:t xml:space="preserve"> </w:t>
      </w:r>
      <m:oMath>
        <m:r>
          <m:t>p</m:t>
        </m:r>
        <m:r>
          <m:rPr>
            <m:sty m:val="p"/>
          </m:rPr>
          <m:t>=</m:t>
        </m:r>
        <m:r>
          <m:t>0.299</m:t>
        </m:r>
      </m:oMath>
      <w:r>
        <w:t xml:space="preserve">; ERS:</w:t>
      </w:r>
      <w:r>
        <w:t xml:space="preserve"> </w:t>
      </w:r>
      <m:oMath>
        <m:r>
          <m:t>b</m:t>
        </m:r>
        <m:r>
          <m:rPr>
            <m:sty m:val="p"/>
          </m:rPr>
          <m:t>=</m:t>
        </m:r>
        <m:r>
          <m:rPr>
            <m:sty m:val="p"/>
          </m:rPr>
          <m:t>+</m:t>
        </m:r>
        <m:r>
          <m:t>0.015</m:t>
        </m:r>
      </m:oMath>
      <w:r>
        <w:t xml:space="preserve">,</w:t>
      </w:r>
      <w:r>
        <w:t xml:space="preserve"> </w:t>
      </w:r>
      <m:oMath>
        <m:r>
          <m:t>p</m:t>
        </m:r>
        <m:r>
          <m:rPr>
            <m:sty m:val="p"/>
          </m:rPr>
          <m:t>=</m:t>
        </m:r>
        <m:r>
          <m:t>0.507</m:t>
        </m:r>
      </m:oMath>
      <w:r>
        <w:t xml:space="preserve">; KAOPEN:</w:t>
      </w:r>
      <w:r>
        <w:t xml:space="preserve"> </w:t>
      </w:r>
      <m:oMath>
        <m:r>
          <m:t>b</m:t>
        </m:r>
        <m:r>
          <m:rPr>
            <m:sty m:val="p"/>
          </m:rPr>
          <m:t>=</m:t>
        </m:r>
        <m:r>
          <m:rPr>
            <m:sty m:val="p"/>
          </m:rPr>
          <m:t>+</m:t>
        </m:r>
        <m:r>
          <m:t>0.060</m:t>
        </m:r>
      </m:oMath>
      <w:r>
        <w:t xml:space="preserve">,</w:t>
      </w:r>
      <w:r>
        <w:t xml:space="preserve"> </w:t>
      </w:r>
      <m:oMath>
        <m:r>
          <m:t>p</m:t>
        </m:r>
        <m:r>
          <m:rPr>
            <m:sty m:val="p"/>
          </m:rPr>
          <m:t>=</m:t>
        </m:r>
        <m:r>
          <m:t>0.179</m:t>
        </m:r>
      </m:oMath>
      <w:r>
        <w:t xml:space="preserve">;</w:t>
      </w:r>
      <w:r>
        <w:t xml:space="preserve"> </w:t>
      </w:r>
      <m:oMath>
        <m:r>
          <m:t>N</m:t>
        </m:r>
        <m:r>
          <m:rPr>
            <m:sty m:val="p"/>
          </m:rPr>
          <m:t>=</m:t>
        </m:r>
        <m:r>
          <m:t>1</m:t>
        </m:r>
        <m:r>
          <m:rPr>
            <m:sty m:val="p"/>
          </m:rPr>
          <m:t>,</m:t>
        </m:r>
        <m:r>
          <m:t>837</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8"/>
    <w:bookmarkEnd w:id="39"/>
    <w:bookmarkStart w:id="40"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+30.9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IV/2SLS estimation using the Shambaugh (2004) base-country peg assignment as an instrument for ERS remains a planned extension; instrument merging and first-stage validation are pending and results are not reported in the current version. Fourth, System-GMM estimation (Blundell-Bond, collapsed instruments with lag-3 and lag-4 starts) was attempted but is not reported: Arellano-Bond tests reject at orders 2 (</w:t>
      </w:r>
      <m:oMath>
        <m:r>
          <m:t>z</m:t>
        </m:r>
        <m:r>
          <m:rPr>
            <m:sty m:val="p"/>
          </m:rPr>
          <m:t>=</m:t>
        </m:r>
        <m:r>
          <m:rPr>
            <m:sty m:val="p"/>
          </m:rPr>
          <m:t>−</m:t>
        </m:r>
        <m:r>
          <m:t>1.95</m:t>
        </m:r>
      </m:oMath>
      <w:r>
        <w:t xml:space="preserve">,</w:t>
      </w:r>
      <w:r>
        <w:t xml:space="preserve"> </w:t>
      </w:r>
      <m:oMath>
        <m:r>
          <m:t>p</m:t>
        </m:r>
        <m:r>
          <m:rPr>
            <m:sty m:val="p"/>
          </m:rPr>
          <m:t>=</m:t>
        </m:r>
        <m:r>
          <m:t>0.051</m:t>
        </m:r>
      </m:oMath>
      <w:r>
        <w:t xml:space="preserve">) and 3 (</w:t>
      </w:r>
      <m:oMath>
        <m:r>
          <m:t>z</m:t>
        </m:r>
        <m:r>
          <m:rPr>
            <m:sty m:val="p"/>
          </m:rPr>
          <m:t>=</m:t>
        </m:r>
        <m:r>
          <m:t>2.00</m:t>
        </m:r>
      </m:oMath>
      <w:r>
        <w:t xml:space="preserve">,</w:t>
      </w:r>
      <w:r>
        <w:t xml:space="preserve"> </w:t>
      </w:r>
      <m:oMath>
        <m:r>
          <m:t>p</m:t>
        </m:r>
        <m:r>
          <m:rPr>
            <m:sty m:val="p"/>
          </m:rPr>
          <m:t>=</m:t>
        </m:r>
        <m:r>
          <m:t>0.045</m:t>
        </m:r>
      </m:oMath>
      <w:r>
        <w:t xml:space="preserve">), and the Sargan test fails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even under the most conservative lag-3 collapsed specification. Third-order autocorrelation in ln_CPI indicates that valid Blundell-Bond moment conditions cannot be achieved at any standard lag start; the dynamic misspecification likely reflects the long memory of institutional inflation regimes. Notably, ERS remains negative and statistically significant (</w:t>
      </w:r>
      <m:oMath>
        <m:r>
          <m:t>b</m:t>
        </m:r>
        <m:r>
          <m:rPr>
            <m:sty m:val="p"/>
          </m:rPr>
          <m:t>∈</m:t>
        </m:r>
        <m:r>
          <m:rPr>
            <m:sty m:val="p"/>
          </m:rPr>
          <m:t>[</m:t>
        </m:r>
        <m:r>
          <m:rPr>
            <m:sty m:val="p"/>
          </m:rPr>
          <m:t>−</m:t>
        </m:r>
        <m:r>
          <m:t>0.41</m:t>
        </m:r>
        <m:r>
          <m:rPr>
            <m:sty m:val="p"/>
          </m:rPr>
          <m:t>,</m:t>
        </m:r>
        <m:r>
          <m:rPr>
            <m:sty m:val="p"/>
          </m:rPr>
          <m:t>−</m:t>
        </m:r>
        <m:r>
          <m:t>0.52</m:t>
        </m:r>
        <m:r>
          <m:rPr>
            <m:sty m:val="p"/>
          </m:rPr>
          <m:t>]</m:t>
        </m:r>
      </m:oMath>
      <w:r>
        <w:t xml:space="preserve">,</w:t>
      </w:r>
      <w:r>
        <w:t xml:space="preserve"> </w:t>
      </w:r>
      <m:oMath>
        <m:r>
          <m:t>p</m:t>
        </m:r>
        <m:r>
          <m:rPr>
            <m:sty m:val="p"/>
          </m:rPr>
          <m:t>&lt;</m:t>
        </m:r>
        <m:r>
          <m:t>0.001</m:t>
        </m:r>
      </m:oMath>
      <w:r>
        <w:t xml:space="preserve">) across all attempted GMM specifications, corroborating the Probit and FE estimates. Stata xtabond2 estimation with additional lag configurations remains a direction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40"/>
    <w:bookmarkStart w:id="92" w:name="references"/>
    <w:p>
      <w:pPr>
        <w:pStyle w:val="Heading1"/>
      </w:pPr>
      <w:r>
        <w:t xml:space="preserve">8. References</w:t>
      </w:r>
    </w:p>
    <w:bookmarkStart w:id="91" w:name="refs"/>
    <w:bookmarkStart w:id="42"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1">
        <w:r>
          <w:rPr>
            <w:rStyle w:val="Hyperlink"/>
          </w:rPr>
          <w:t xml:space="preserve">https://doi.org/10.1016/j.jimonfin.2010.01.005</w:t>
        </w:r>
      </w:hyperlink>
    </w:p>
    <w:bookmarkEnd w:id="42"/>
    <w:bookmarkStart w:id="44"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3">
        <w:r>
          <w:rPr>
            <w:rStyle w:val="Hyperlink"/>
          </w:rPr>
          <w:t xml:space="preserve">https://doi.org/10.1111/roie.12047</w:t>
        </w:r>
      </w:hyperlink>
    </w:p>
    <w:bookmarkEnd w:id="44"/>
    <w:bookmarkStart w:id="46"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5">
        <w:r>
          <w:rPr>
            <w:rStyle w:val="Hyperlink"/>
          </w:rPr>
          <w:t xml:space="preserve">https://doi.org/10.21105/joss.00848</w:t>
        </w:r>
      </w:hyperlink>
    </w:p>
    <w:bookmarkEnd w:id="46"/>
    <w:bookmarkStart w:id="48"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7">
        <w:r>
          <w:rPr>
            <w:rStyle w:val="Hyperlink"/>
          </w:rPr>
          <w:t xml:space="preserve">https://doi.org/10.2139/ssrn.5110065</w:t>
        </w:r>
      </w:hyperlink>
    </w:p>
    <w:bookmarkEnd w:id="48"/>
    <w:bookmarkStart w:id="50"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49">
        <w:r>
          <w:rPr>
            <w:rStyle w:val="Hyperlink"/>
          </w:rPr>
          <w:t xml:space="preserve">https://doi.org/10.1086/261167</w:t>
        </w:r>
      </w:hyperlink>
    </w:p>
    <w:bookmarkEnd w:id="50"/>
    <w:bookmarkStart w:id="52" w:name="ref-bianchiCoulibaly2025"/>
    <w:p>
      <w:pPr>
        <w:pStyle w:val="Bibliography"/>
      </w:pPr>
      <w:r>
        <w:t xml:space="preserve">Bianchi, J., &amp; Coulibaly, L. (2025). A theory of fear of floating.</w:t>
      </w:r>
      <w:r>
        <w:t xml:space="preserve"> </w:t>
      </w:r>
      <w:r>
        <w:rPr>
          <w:i/>
          <w:iCs/>
        </w:rPr>
        <w:t xml:space="preserve">Journal of Monetary Economics</w:t>
      </w:r>
      <w:r>
        <w:t xml:space="preserve">.</w:t>
      </w:r>
      <w:r>
        <w:t xml:space="preserve"> </w:t>
      </w:r>
      <w:hyperlink r:id="rId51">
        <w:r>
          <w:rPr>
            <w:rStyle w:val="Hyperlink"/>
          </w:rPr>
          <w:t xml:space="preserve">https://doi.org/10.1016/j.jmoneco.2025.103869</w:t>
        </w:r>
      </w:hyperlink>
    </w:p>
    <w:bookmarkEnd w:id="52"/>
    <w:bookmarkStart w:id="54" w:name="ref-cavalloContani1997"/>
    <w:p>
      <w:pPr>
        <w:pStyle w:val="Bibliography"/>
      </w:pPr>
      <w:r>
        <w:t xml:space="preserve">Cavallo, D. F., &amp; Cottani, J. A. (1997). Argentina’s convertibility plan and the</w:t>
      </w:r>
      <w:r>
        <w:t xml:space="preserve"> </w:t>
      </w:r>
      <w:r>
        <w:t xml:space="preserve">IMF</w:t>
      </w:r>
      <w:r>
        <w:t xml:space="preserve">.</w:t>
      </w:r>
      <w:r>
        <w:t xml:space="preserve"> </w:t>
      </w:r>
      <w:r>
        <w:rPr>
          <w:i/>
          <w:iCs/>
        </w:rPr>
        <w:t xml:space="preserve">American Economic Review</w:t>
      </w:r>
      <w:r>
        <w:t xml:space="preserve">,</w:t>
      </w:r>
      <w:r>
        <w:t xml:space="preserve"> </w:t>
      </w:r>
      <w:r>
        <w:rPr>
          <w:i/>
          <w:iCs/>
        </w:rPr>
        <w:t xml:space="preserve">87</w:t>
      </w:r>
      <w:r>
        <w:t xml:space="preserve">(2), 17–22.</w:t>
      </w:r>
      <w:r>
        <w:t xml:space="preserve"> </w:t>
      </w:r>
      <w:hyperlink r:id="rId53">
        <w:r>
          <w:rPr>
            <w:rStyle w:val="Hyperlink"/>
          </w:rPr>
          <w:t xml:space="preserve">https://ideas.repec.org/a/aea/aecrev/v87y1997i2p17-22.html</w:t>
        </w:r>
      </w:hyperlink>
    </w:p>
    <w:bookmarkEnd w:id="54"/>
    <w:bookmarkStart w:id="56"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5">
        <w:r>
          <w:rPr>
            <w:rStyle w:val="Hyperlink"/>
          </w:rPr>
          <w:t xml:space="preserve">https://doi.org/10.1016/j.bir.2023.01.009</w:t>
        </w:r>
      </w:hyperlink>
    </w:p>
    <w:bookmarkEnd w:id="56"/>
    <w:bookmarkStart w:id="58"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7">
        <w:r>
          <w:rPr>
            <w:rStyle w:val="Hyperlink"/>
          </w:rPr>
          <w:t xml:space="preserve">https://doi.org/10.18637/jss.v027.i02</w:t>
        </w:r>
      </w:hyperlink>
    </w:p>
    <w:bookmarkEnd w:id="58"/>
    <w:bookmarkStart w:id="60" w:name="ref-delaTorre2003"/>
    <w:p>
      <w:pPr>
        <w:pStyle w:val="Bibliography"/>
      </w:pPr>
      <w:r>
        <w:t xml:space="preserve">De la Torre, A., Levy Yeyati, E., &amp; Schmukler, S. L. (2003). Living and dying with hard pegs: The rise and fall of argentina’s currency board.</w:t>
      </w:r>
      <w:r>
        <w:t xml:space="preserve"> </w:t>
      </w:r>
      <w:r>
        <w:rPr>
          <w:i/>
          <w:iCs/>
        </w:rPr>
        <w:t xml:space="preserve">Econom</w:t>
      </w:r>
      <w:r>
        <w:rPr>
          <w:i/>
          <w:iCs/>
        </w:rPr>
        <w:t xml:space="preserve">í</w:t>
      </w:r>
      <w:r>
        <w:rPr>
          <w:i/>
          <w:iCs/>
        </w:rPr>
        <w:t xml:space="preserve">a</w:t>
      </w:r>
      <w:r>
        <w:t xml:space="preserve">,</w:t>
      </w:r>
      <w:r>
        <w:t xml:space="preserve"> </w:t>
      </w:r>
      <w:r>
        <w:rPr>
          <w:i/>
          <w:iCs/>
        </w:rPr>
        <w:t xml:space="preserve">3</w:t>
      </w:r>
      <w:r>
        <w:t xml:space="preserve">(2), 43–99.</w:t>
      </w:r>
      <w:r>
        <w:t xml:space="preserve"> </w:t>
      </w:r>
      <w:hyperlink r:id="rId59">
        <w:r>
          <w:rPr>
            <w:rStyle w:val="Hyperlink"/>
          </w:rPr>
          <w:t xml:space="preserve">https://doi.org/10.1353/eco.2003.0010</w:t>
        </w:r>
      </w:hyperlink>
    </w:p>
    <w:bookmarkEnd w:id="60"/>
    <w:bookmarkStart w:id="62"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61">
        <w:r>
          <w:rPr>
            <w:rStyle w:val="Hyperlink"/>
          </w:rPr>
          <w:t xml:space="preserve">https://doi.org/10.1162/003465398557825</w:t>
        </w:r>
      </w:hyperlink>
    </w:p>
    <w:bookmarkEnd w:id="62"/>
    <w:bookmarkStart w:id="64" w:name="ref-farhiWerning2014"/>
    <w:p>
      <w:pPr>
        <w:pStyle w:val="Bibliography"/>
      </w:pPr>
      <w:r>
        <w:t xml:space="preserve">Farhi, E., &amp; Werning, I. (2014). Dilemma not trilemma? Capital controls and exchange rates with volatile capital flows.</w:t>
      </w:r>
      <w:r>
        <w:t xml:space="preserve"> </w:t>
      </w:r>
      <w:r>
        <w:rPr>
          <w:i/>
          <w:iCs/>
        </w:rPr>
        <w:t xml:space="preserve">IMF Economic Review</w:t>
      </w:r>
      <w:r>
        <w:t xml:space="preserve">,</w:t>
      </w:r>
      <w:r>
        <w:t xml:space="preserve"> </w:t>
      </w:r>
      <w:r>
        <w:rPr>
          <w:i/>
          <w:iCs/>
        </w:rPr>
        <w:t xml:space="preserve">62</w:t>
      </w:r>
      <w:r>
        <w:t xml:space="preserve">(4), 569–605.</w:t>
      </w:r>
      <w:r>
        <w:t xml:space="preserve"> </w:t>
      </w:r>
      <w:hyperlink r:id="rId63">
        <w:r>
          <w:rPr>
            <w:rStyle w:val="Hyperlink"/>
          </w:rPr>
          <w:t xml:space="preserve">https://doi.org/10.1057/imfer.2014.25</w:t>
        </w:r>
      </w:hyperlink>
    </w:p>
    <w:bookmarkEnd w:id="64"/>
    <w:bookmarkStart w:id="66"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65">
        <w:r>
          <w:rPr>
            <w:rStyle w:val="Hyperlink"/>
          </w:rPr>
          <w:t xml:space="preserve">https://doi.org/10.1257/jel.40.3.837</w:t>
        </w:r>
      </w:hyperlink>
    </w:p>
    <w:bookmarkEnd w:id="66"/>
    <w:bookmarkStart w:id="68"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67">
        <w:r>
          <w:rPr>
            <w:rStyle w:val="Hyperlink"/>
          </w:rPr>
          <w:t xml:space="preserve">https://doi.org/10.2307/3866091</w:t>
        </w:r>
      </w:hyperlink>
    </w:p>
    <w:bookmarkEnd w:id="68"/>
    <w:bookmarkStart w:id="70"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69">
        <w:r>
          <w:rPr>
            <w:rStyle w:val="Hyperlink"/>
          </w:rPr>
          <w:t xml:space="preserve">https://doi.org/10.32614/RJ-2021-035</w:t>
        </w:r>
      </w:hyperlink>
    </w:p>
    <w:bookmarkEnd w:id="70"/>
    <w:bookmarkStart w:id="72" w:name="ref-gourinchas2023"/>
    <w:p>
      <w:pPr>
        <w:pStyle w:val="Bibliography"/>
      </w:pPr>
      <w:r>
        <w:t xml:space="preserve">Gourinchas, P.-O. (2023). International macroeconomics: From the great financial crisis to</w:t>
      </w:r>
      <w:r>
        <w:t xml:space="preserve"> </w:t>
      </w:r>
      <w:r>
        <w:t xml:space="preserve">COVID</w:t>
      </w:r>
      <w:r>
        <w:t xml:space="preserve">-19, and beyond.</w:t>
      </w:r>
      <w:r>
        <w:t xml:space="preserve"> </w:t>
      </w:r>
      <w:r>
        <w:rPr>
          <w:i/>
          <w:iCs/>
        </w:rPr>
        <w:t xml:space="preserve">IMF Economic Review</w:t>
      </w:r>
      <w:r>
        <w:t xml:space="preserve">,</w:t>
      </w:r>
      <w:r>
        <w:t xml:space="preserve"> </w:t>
      </w:r>
      <w:r>
        <w:rPr>
          <w:i/>
          <w:iCs/>
        </w:rPr>
        <w:t xml:space="preserve">71</w:t>
      </w:r>
      <w:r>
        <w:t xml:space="preserve">(1), 1–34.</w:t>
      </w:r>
      <w:r>
        <w:t xml:space="preserve"> </w:t>
      </w:r>
      <w:hyperlink r:id="rId71">
        <w:r>
          <w:rPr>
            <w:rStyle w:val="Hyperlink"/>
          </w:rPr>
          <w:t xml:space="preserve">https://doi.org/10.1057/s41308-022-00171-x</w:t>
        </w:r>
      </w:hyperlink>
    </w:p>
    <w:bookmarkEnd w:id="72"/>
    <w:bookmarkStart w:id="74"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73">
        <w:r>
          <w:rPr>
            <w:rStyle w:val="Hyperlink"/>
          </w:rPr>
          <w:t xml:space="preserve">https://doi.org/10.1016/j.jimonfin.2024.103182</w:t>
        </w:r>
      </w:hyperlink>
    </w:p>
    <w:bookmarkEnd w:id="74"/>
    <w:bookmarkStart w:id="76" w:name="ref-kleinShambaugh2015"/>
    <w:p>
      <w:pPr>
        <w:pStyle w:val="Bibliography"/>
      </w:pPr>
      <w:r>
        <w:t xml:space="preserve">Klein, M. W., &amp; Shambaugh, J. C. (2015). Rounding the corners of the policy trilemma: Sources of monetary policy autonomy.</w:t>
      </w:r>
      <w:r>
        <w:t xml:space="preserve"> </w:t>
      </w:r>
      <w:r>
        <w:rPr>
          <w:i/>
          <w:iCs/>
        </w:rPr>
        <w:t xml:space="preserve">American Economic Journal: Macroeconomics</w:t>
      </w:r>
      <w:r>
        <w:t xml:space="preserve">,</w:t>
      </w:r>
      <w:r>
        <w:t xml:space="preserve"> </w:t>
      </w:r>
      <w:r>
        <w:rPr>
          <w:i/>
          <w:iCs/>
        </w:rPr>
        <w:t xml:space="preserve">7</w:t>
      </w:r>
      <w:r>
        <w:t xml:space="preserve">(4), 33–66.</w:t>
      </w:r>
      <w:r>
        <w:t xml:space="preserve"> </w:t>
      </w:r>
      <w:hyperlink r:id="rId75">
        <w:r>
          <w:rPr>
            <w:rStyle w:val="Hyperlink"/>
          </w:rPr>
          <w:t xml:space="preserve">https://doi.org/10.1257/mac.20130237</w:t>
        </w:r>
      </w:hyperlink>
    </w:p>
    <w:bookmarkEnd w:id="76"/>
    <w:bookmarkStart w:id="78"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77">
        <w:r>
          <w:rPr>
            <w:rStyle w:val="Hyperlink"/>
          </w:rPr>
          <w:t xml:space="preserve">https://doi.org/10.1002/ijfe.2737</w:t>
        </w:r>
      </w:hyperlink>
    </w:p>
    <w:bookmarkEnd w:id="78"/>
    <w:bookmarkStart w:id="80"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79">
        <w:r>
          <w:rPr>
            <w:rStyle w:val="Hyperlink"/>
          </w:rPr>
          <w:t xml:space="preserve">https://doi.org/10.2307/139336</w:t>
        </w:r>
      </w:hyperlink>
    </w:p>
    <w:bookmarkEnd w:id="80"/>
    <w:bookmarkStart w:id="82"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81">
        <w:r>
          <w:rPr>
            <w:rStyle w:val="Hyperlink"/>
          </w:rPr>
          <w:t xml:space="preserve">https://doi.org/10.1002/jae.951</w:t>
        </w:r>
      </w:hyperlink>
    </w:p>
    <w:bookmarkEnd w:id="82"/>
    <w:bookmarkStart w:id="84" w:name="ref-rey2016"/>
    <w:p>
      <w:pPr>
        <w:pStyle w:val="Bibliography"/>
      </w:pPr>
      <w:r>
        <w:t xml:space="preserve">Rey, H. (2016). International channels of transmission of monetary policy and the</w:t>
      </w:r>
      <w:r>
        <w:t xml:space="preserve"> </w:t>
      </w:r>
      <w:r>
        <w:t xml:space="preserve">Mundellian</w:t>
      </w:r>
      <w:r>
        <w:t xml:space="preserve"> </w:t>
      </w:r>
      <w:r>
        <w:t xml:space="preserve">trilemma.</w:t>
      </w:r>
      <w:r>
        <w:t xml:space="preserve"> </w:t>
      </w:r>
      <w:r>
        <w:rPr>
          <w:i/>
          <w:iCs/>
        </w:rPr>
        <w:t xml:space="preserve">IMF Economic Review</w:t>
      </w:r>
      <w:r>
        <w:t xml:space="preserve">,</w:t>
      </w:r>
      <w:r>
        <w:t xml:space="preserve"> </w:t>
      </w:r>
      <w:r>
        <w:rPr>
          <w:i/>
          <w:iCs/>
        </w:rPr>
        <w:t xml:space="preserve">64</w:t>
      </w:r>
      <w:r>
        <w:t xml:space="preserve">(1), 6–35.</w:t>
      </w:r>
      <w:r>
        <w:t xml:space="preserve"> </w:t>
      </w:r>
      <w:hyperlink r:id="rId83">
        <w:r>
          <w:rPr>
            <w:rStyle w:val="Hyperlink"/>
          </w:rPr>
          <w:t xml:space="preserve">https://doi.org/10.1057/imfer.2016.4</w:t>
        </w:r>
      </w:hyperlink>
    </w:p>
    <w:bookmarkEnd w:id="84"/>
    <w:bookmarkStart w:id="86"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85">
        <w:r>
          <w:rPr>
            <w:rStyle w:val="Hyperlink"/>
          </w:rPr>
          <w:t xml:space="preserve">https://doi.org/10.1162/003355304772839605</w:t>
        </w:r>
      </w:hyperlink>
    </w:p>
    <w:bookmarkEnd w:id="86"/>
    <w:bookmarkStart w:id="88" w:name="ref-sigmundFerstl2021"/>
    <w:p>
      <w:pPr>
        <w:pStyle w:val="Bibliography"/>
      </w:pPr>
      <w:r>
        <w:t xml:space="preserve">Sigmund, M., &amp; Ferstl, R. (2021). Panel vector autoregression in</w:t>
      </w:r>
      <w:r>
        <w:t xml:space="preserve"> </w:t>
      </w:r>
      <w:r>
        <w:t xml:space="preserve">R</w:t>
      </w:r>
      <w:r>
        <w:t xml:space="preserve"> </w:t>
      </w:r>
      <w:r>
        <w:t xml:space="preserve">with the package panelvar.</w:t>
      </w:r>
      <w:r>
        <w:t xml:space="preserve"> </w:t>
      </w:r>
      <w:r>
        <w:rPr>
          <w:i/>
          <w:iCs/>
        </w:rPr>
        <w:t xml:space="preserve">Quarterly Review of Economics and Finance</w:t>
      </w:r>
      <w:r>
        <w:t xml:space="preserve">,</w:t>
      </w:r>
      <w:r>
        <w:t xml:space="preserve"> </w:t>
      </w:r>
      <w:r>
        <w:rPr>
          <w:i/>
          <w:iCs/>
        </w:rPr>
        <w:t xml:space="preserve">80</w:t>
      </w:r>
      <w:r>
        <w:t xml:space="preserve">, 693–720.</w:t>
      </w:r>
      <w:r>
        <w:t xml:space="preserve"> </w:t>
      </w:r>
      <w:hyperlink r:id="rId87">
        <w:r>
          <w:rPr>
            <w:rStyle w:val="Hyperlink"/>
          </w:rPr>
          <w:t xml:space="preserve">https://doi.org/10.1016/j.qref.2019.01.001</w:t>
        </w:r>
      </w:hyperlink>
    </w:p>
    <w:bookmarkEnd w:id="88"/>
    <w:bookmarkStart w:id="90"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89">
        <w:r>
          <w:rPr>
            <w:rStyle w:val="Hyperlink"/>
          </w:rPr>
          <w:t xml:space="preserve">https://doi.org/10.1016/j.jeconom.2004.02.005</w:t>
        </w:r>
      </w:hyperlink>
    </w:p>
    <w:bookmarkEnd w:id="90"/>
    <w:bookmarkEnd w:id="91"/>
    <w:p>
      <w:r>
        <w:pict>
          <v:rect style="width:0;height:1.5pt" o:hralign="center" o:hrstd="t" o:hr="t"/>
        </w:pict>
      </w:r>
    </w:p>
    <w:p>
      <w:pPr>
        <w:pStyle w:val="FirstParagraph"/>
      </w:pPr>
      <w:r>
        <w:rPr>
          <w:i/>
          <w:iCs/>
        </w:rPr>
        <w:t xml:space="preserve">Author contributions (CRediT):</w:t>
      </w:r>
      <w:r>
        <w:t xml:space="preserve"> </w:t>
      </w:r>
      <w:r>
        <w:t xml:space="preserve">Blinded for review.</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77" Target="https://doi.org/10.1002/ijfe.2737" TargetMode="External" /><Relationship Type="http://schemas.openxmlformats.org/officeDocument/2006/relationships/hyperlink" Id="rId81" Target="https://doi.org/10.1002/jae.951" TargetMode="External" /><Relationship Type="http://schemas.openxmlformats.org/officeDocument/2006/relationships/hyperlink" Id="rId55" Target="https://doi.org/10.1016/j.bir.2023.01.009" TargetMode="External" /><Relationship Type="http://schemas.openxmlformats.org/officeDocument/2006/relationships/hyperlink" Id="rId89" Target="https://doi.org/10.1016/j.jeconom.2004.02.005" TargetMode="External" /><Relationship Type="http://schemas.openxmlformats.org/officeDocument/2006/relationships/hyperlink" Id="rId41" Target="https://doi.org/10.1016/j.jimonfin.2010.01.005" TargetMode="External" /><Relationship Type="http://schemas.openxmlformats.org/officeDocument/2006/relationships/hyperlink" Id="rId73" Target="https://doi.org/10.1016/j.jimonfin.2024.103182" TargetMode="External" /><Relationship Type="http://schemas.openxmlformats.org/officeDocument/2006/relationships/hyperlink" Id="rId51" Target="https://doi.org/10.1016/j.jmoneco.2025.103869" TargetMode="External" /><Relationship Type="http://schemas.openxmlformats.org/officeDocument/2006/relationships/hyperlink" Id="rId87" Target="https://doi.org/10.1016/j.qref.2019.01.001" TargetMode="External" /><Relationship Type="http://schemas.openxmlformats.org/officeDocument/2006/relationships/hyperlink" Id="rId63" Target="https://doi.org/10.1057/imfer.2014.25" TargetMode="External" /><Relationship Type="http://schemas.openxmlformats.org/officeDocument/2006/relationships/hyperlink" Id="rId83" Target="https://doi.org/10.1057/imfer.2016.4" TargetMode="External" /><Relationship Type="http://schemas.openxmlformats.org/officeDocument/2006/relationships/hyperlink" Id="rId71" Target="https://doi.org/10.1057/s41308-022-00171-x" TargetMode="External" /><Relationship Type="http://schemas.openxmlformats.org/officeDocument/2006/relationships/hyperlink" Id="rId49" Target="https://doi.org/10.1086/261167" TargetMode="External" /><Relationship Type="http://schemas.openxmlformats.org/officeDocument/2006/relationships/hyperlink" Id="rId43" Target="https://doi.org/10.1111/roie.12047" TargetMode="External" /><Relationship Type="http://schemas.openxmlformats.org/officeDocument/2006/relationships/hyperlink" Id="rId85" Target="https://doi.org/10.1162/003355304772839605" TargetMode="External" /><Relationship Type="http://schemas.openxmlformats.org/officeDocument/2006/relationships/hyperlink" Id="rId61" Target="https://doi.org/10.1162/003465398557825" TargetMode="External" /><Relationship Type="http://schemas.openxmlformats.org/officeDocument/2006/relationships/hyperlink" Id="rId65" Target="https://doi.org/10.1257/jel.40.3.837" TargetMode="External" /><Relationship Type="http://schemas.openxmlformats.org/officeDocument/2006/relationships/hyperlink" Id="rId75" Target="https://doi.org/10.1257/mac.20130237" TargetMode="External" /><Relationship Type="http://schemas.openxmlformats.org/officeDocument/2006/relationships/hyperlink" Id="rId59" Target="https://doi.org/10.1353/eco.2003.0010" TargetMode="External" /><Relationship Type="http://schemas.openxmlformats.org/officeDocument/2006/relationships/hyperlink" Id="rId57" Target="https://doi.org/10.18637/jss.v027.i02" TargetMode="External" /><Relationship Type="http://schemas.openxmlformats.org/officeDocument/2006/relationships/hyperlink" Id="rId45" Target="https://doi.org/10.21105/joss.00848" TargetMode="External" /><Relationship Type="http://schemas.openxmlformats.org/officeDocument/2006/relationships/hyperlink" Id="rId47" Target="https://doi.org/10.2139/ssrn.5110065" TargetMode="External" /><Relationship Type="http://schemas.openxmlformats.org/officeDocument/2006/relationships/hyperlink" Id="rId79" Target="https://doi.org/10.2307/139336" TargetMode="External" /><Relationship Type="http://schemas.openxmlformats.org/officeDocument/2006/relationships/hyperlink" Id="rId67" Target="https://doi.org/10.2307/3866091" TargetMode="External" /><Relationship Type="http://schemas.openxmlformats.org/officeDocument/2006/relationships/hyperlink" Id="rId69" Target="https://doi.org/10.32614/RJ-2021-035" TargetMode="External" /><Relationship Type="http://schemas.openxmlformats.org/officeDocument/2006/relationships/hyperlink" Id="rId53" Target="https://ideas.repec.org/a/aea/aecrev/v87y1997i2p17-22.html"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2/ijfe.2737" TargetMode="External" /><Relationship Type="http://schemas.openxmlformats.org/officeDocument/2006/relationships/hyperlink" Id="rId81" Target="https://doi.org/10.1002/jae.951" TargetMode="External" /><Relationship Type="http://schemas.openxmlformats.org/officeDocument/2006/relationships/hyperlink" Id="rId55" Target="https://doi.org/10.1016/j.bir.2023.01.009" TargetMode="External" /><Relationship Type="http://schemas.openxmlformats.org/officeDocument/2006/relationships/hyperlink" Id="rId89" Target="https://doi.org/10.1016/j.jeconom.2004.02.005" TargetMode="External" /><Relationship Type="http://schemas.openxmlformats.org/officeDocument/2006/relationships/hyperlink" Id="rId41" Target="https://doi.org/10.1016/j.jimonfin.2010.01.005" TargetMode="External" /><Relationship Type="http://schemas.openxmlformats.org/officeDocument/2006/relationships/hyperlink" Id="rId73" Target="https://doi.org/10.1016/j.jimonfin.2024.103182" TargetMode="External" /><Relationship Type="http://schemas.openxmlformats.org/officeDocument/2006/relationships/hyperlink" Id="rId51" Target="https://doi.org/10.1016/j.jmoneco.2025.103869" TargetMode="External" /><Relationship Type="http://schemas.openxmlformats.org/officeDocument/2006/relationships/hyperlink" Id="rId87" Target="https://doi.org/10.1016/j.qref.2019.01.001" TargetMode="External" /><Relationship Type="http://schemas.openxmlformats.org/officeDocument/2006/relationships/hyperlink" Id="rId63" Target="https://doi.org/10.1057/imfer.2014.25" TargetMode="External" /><Relationship Type="http://schemas.openxmlformats.org/officeDocument/2006/relationships/hyperlink" Id="rId83" Target="https://doi.org/10.1057/imfer.2016.4" TargetMode="External" /><Relationship Type="http://schemas.openxmlformats.org/officeDocument/2006/relationships/hyperlink" Id="rId71" Target="https://doi.org/10.1057/s41308-022-00171-x" TargetMode="External" /><Relationship Type="http://schemas.openxmlformats.org/officeDocument/2006/relationships/hyperlink" Id="rId49" Target="https://doi.org/10.1086/261167" TargetMode="External" /><Relationship Type="http://schemas.openxmlformats.org/officeDocument/2006/relationships/hyperlink" Id="rId43" Target="https://doi.org/10.1111/roie.12047" TargetMode="External" /><Relationship Type="http://schemas.openxmlformats.org/officeDocument/2006/relationships/hyperlink" Id="rId85" Target="https://doi.org/10.1162/003355304772839605" TargetMode="External" /><Relationship Type="http://schemas.openxmlformats.org/officeDocument/2006/relationships/hyperlink" Id="rId61" Target="https://doi.org/10.1162/003465398557825" TargetMode="External" /><Relationship Type="http://schemas.openxmlformats.org/officeDocument/2006/relationships/hyperlink" Id="rId65" Target="https://doi.org/10.1257/jel.40.3.837" TargetMode="External" /><Relationship Type="http://schemas.openxmlformats.org/officeDocument/2006/relationships/hyperlink" Id="rId75" Target="https://doi.org/10.1257/mac.20130237" TargetMode="External" /><Relationship Type="http://schemas.openxmlformats.org/officeDocument/2006/relationships/hyperlink" Id="rId59" Target="https://doi.org/10.1353/eco.2003.0010" TargetMode="External" /><Relationship Type="http://schemas.openxmlformats.org/officeDocument/2006/relationships/hyperlink" Id="rId57" Target="https://doi.org/10.18637/jss.v027.i02" TargetMode="External" /><Relationship Type="http://schemas.openxmlformats.org/officeDocument/2006/relationships/hyperlink" Id="rId45" Target="https://doi.org/10.21105/joss.00848" TargetMode="External" /><Relationship Type="http://schemas.openxmlformats.org/officeDocument/2006/relationships/hyperlink" Id="rId47" Target="https://doi.org/10.2139/ssrn.5110065" TargetMode="External" /><Relationship Type="http://schemas.openxmlformats.org/officeDocument/2006/relationships/hyperlink" Id="rId79" Target="https://doi.org/10.2307/139336" TargetMode="External" /><Relationship Type="http://schemas.openxmlformats.org/officeDocument/2006/relationships/hyperlink" Id="rId67" Target="https://doi.org/10.2307/3866091" TargetMode="External" /><Relationship Type="http://schemas.openxmlformats.org/officeDocument/2006/relationships/hyperlink" Id="rId69" Target="https://doi.org/10.32614/RJ-2021-035" TargetMode="External" /><Relationship Type="http://schemas.openxmlformats.org/officeDocument/2006/relationships/hyperlink" Id="rId53" Target="https://ideas.repec.org/a/aea/aecrev/v87y1997i2p17-22.html"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Blinded for review</dc:creator>
  <cp:keywords/>
  <dcterms:created xsi:type="dcterms:W3CDTF">2026-04-28T18:08:35Z</dcterms:created>
  <dcterms:modified xsi:type="dcterms:W3CDTF">2026-04-28T18:08:35Z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2026-04-29</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