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Trilemma Configuration and Chronic Inflation Traps in Developing Economies: Panel Evidence from 106 Countries, 1985–2020</w:t>
      </w:r>
    </w:p>
    <w:p>
      <w:pPr>
        <w:pStyle w:val="Author"/>
      </w:pPr>
      <w:r>
        <w:t xml:space="preserve">Res. Asst. Dr. M. Gökhan Özdemir</w:t>
      </w:r>
    </w:p>
    <w:p>
      <w:pPr>
        <w:pStyle w:val="Date"/>
      </w:pPr>
      <w:r>
        <w:t xml:space="preserve">2026-04-28</w:t>
      </w:r>
    </w:p>
    <w:p>
      <w:pPr>
        <w:pStyle w:val="AbstractTitle"/>
      </w:pPr>
      <w:r>
        <w:t xml:space="preserve">Abstract</w:t>
      </w:r>
    </w:p>
    <w:p>
      <w:pPr>
        <w:pStyle w:val="Abstract"/>
      </w:pPr>
      <w:r>
        <w:t xml:space="preserve">This paper tests whether a country’s position along the impossible trinity dimensions</w:t>
      </w:r>
      <w:r>
        <w:t xml:space="preserve"> </w:t>
      </w:r>
      <w:r>
        <w:t xml:space="preserve">— monetary independence (MII), exchange rate stability (ERS), and capital account openness</w:t>
      </w:r>
      <w:r>
        <w:t xml:space="preserve"> </w:t>
      </w:r>
      <w:r>
        <w:t xml:space="preserve">(KAOPEN) — determines the probability of sustaining chronic inflation, defined as CPI growth</w:t>
      </w:r>
      <w:r>
        <w:t xml:space="preserve"> </w:t>
      </w:r>
      <w:r>
        <w:t xml:space="preserve">exceeding 10% for three or more consecutive years. Using a panel of 106 developing and</w:t>
      </w:r>
      <w:r>
        <w:t xml:space="preserve"> </w:t>
      </w:r>
      <w:r>
        <w:t xml:space="preserve">emerging economies over 1985–2020 (3,474 country-year observations on the primary CPI variable; estimation sample N = 2,505–3,153 after trilemma merge), we find that exchange</w:t>
      </w:r>
      <w:r>
        <w:t xml:space="preserve"> </w:t>
      </w:r>
      <w:r>
        <w:t xml:space="preserve">rate stability is the dominant anti-inflation device: a one-standard-deviation increase in ERS</w:t>
      </w:r>
      <w:r>
        <w:t xml:space="preserve"> </w:t>
      </w:r>
      <w:r>
        <w:t xml:space="preserve">reduces the chronic-inflation probability by 19.8 percentage points (RE Probit, APE). Contrary</w:t>
      </w:r>
      <w:r>
        <w:t xml:space="preserve"> </w:t>
      </w:r>
      <w:r>
        <w:t xml:space="preserve">to the conventional credibility-loss mechanism, monetary independence exerts a positive effect</w:t>
      </w:r>
      <w:r>
        <w:t xml:space="preserve"> </w:t>
      </w:r>
      <w:r>
        <w:t xml:space="preserve">on chronic inflation (APE = +18.3 pp), consistent with the Barro-Gordon time-inconsistency</w:t>
      </w:r>
      <w:r>
        <w:t xml:space="preserve"> </w:t>
      </w:r>
      <w:r>
        <w:t xml:space="preserve">argument: central banks retaining full monetary discretion — without the commitment device of</w:t>
      </w:r>
      <w:r>
        <w:t xml:space="preserve"> </w:t>
      </w:r>
      <w:r>
        <w:t xml:space="preserve">an exchange rate anchor — exploit the inflation-output tradeoff, generating an equilibrium</w:t>
      </w:r>
      <w:r>
        <w:t xml:space="preserve"> </w:t>
      </w:r>
      <w:r>
        <w:t xml:space="preserve">with persistently elevated prices. Capital account openness reduces chronic inflation through</w:t>
      </w:r>
      <w:r>
        <w:t xml:space="preserve"> </w:t>
      </w:r>
      <w:r>
        <w:t xml:space="preserve">market discipline (APE = −7.5 pp). These results are robust to alternative thresholds (7%,</w:t>
      </w:r>
      <w:r>
        <w:t xml:space="preserve"> </w:t>
      </w:r>
      <w:r>
        <w:t xml:space="preserve">15%), sub-periods (1985–2000, 2001–2010, 2011–2020), and regional subsamples. The findings</w:t>
      </w:r>
      <w:r>
        <w:t xml:space="preserve"> </w:t>
      </w:r>
      <w:r>
        <w:t xml:space="preserve">imply that exchange rate anchoring, rather than monetary autonomy, is the primary trilemma</w:t>
      </w:r>
      <w:r>
        <w:t xml:space="preserve"> </w:t>
      </w:r>
      <w:r>
        <w:t xml:space="preserve">instrument for eliminating chronic inflation in developing economies.</w:t>
      </w:r>
    </w:p>
    <w:bookmarkStart w:id="9" w:name="introduction"/>
    <w:p>
      <w:pPr>
        <w:pStyle w:val="Heading1"/>
      </w:pPr>
      <w:r>
        <w:t xml:space="preserve">1. Introduction</w:t>
      </w:r>
    </w:p>
    <w:p>
      <w:pPr>
        <w:pStyle w:val="FirstParagraph"/>
      </w:pPr>
      <w:r>
        <w:t xml:space="preserve">Since</w:t>
      </w:r>
      <w:r>
        <w:t xml:space="preserve"> </w:t>
      </w:r>
      <w:r>
        <w:t xml:space="preserve">Mundell (1963)</w:t>
      </w:r>
      <w:r>
        <w:t xml:space="preserve"> </w:t>
      </w:r>
      <w:r>
        <w:t xml:space="preserve">and</w:t>
      </w:r>
      <w:r>
        <w:t xml:space="preserve"> </w:t>
      </w:r>
      <w:r>
        <w:t xml:space="preserve">Fleming (1962)</w:t>
      </w:r>
      <w:r>
        <w:t xml:space="preserve">, it has been axiomatic in international macroeconomics that open economies cannot simultaneously achieve monetary independence, exchange rate stability, and capital mobility — the so-called impossible trinity or Mundell-Fleming trilemma. Yet the distributional consequences of each trilemma corner for</w:t>
      </w:r>
      <w:r>
        <w:t xml:space="preserve"> </w:t>
      </w:r>
      <w:r>
        <w:rPr>
          <w:i/>
          <w:iCs/>
        </w:rPr>
        <w:t xml:space="preserve">domestic price stability</w:t>
      </w:r>
      <w:r>
        <w:t xml:space="preserve"> </w:t>
      </w:r>
      <w:r>
        <w:t xml:space="preserve">remain empirically underexplored, particularly for economies where inflation is not a transitory supply shock but a chronic institutional condition.</w:t>
      </w:r>
    </w:p>
    <w:p>
      <w:pPr>
        <w:pStyle w:val="BodyText"/>
      </w:pPr>
      <w:r>
        <w:t xml:space="preserve">This paper tests whether countries that sacrifice monetary independence — by pegging their exchange rate or liberalising capital flows — are systematically more likely to sustain</w:t>
      </w:r>
      <w:r>
        <w:t xml:space="preserve"> </w:t>
      </w:r>
      <w:r>
        <w:rPr>
          <w:i/>
          <w:iCs/>
        </w:rPr>
        <w:t xml:space="preserve">chronic inflation</w:t>
      </w:r>
      <w:r>
        <w:t xml:space="preserve">, defined as CPI growth exceeding 10% for three or more consecutive years. The question matters because chronic inflation is qualitatively different from episodic price surges: it reshapes wage-setting institutions, erodes fiscal accounts through bracket creep or seigniorage dependence, and permanently alters the inflation-expectation equilibrium</w:t>
      </w:r>
      <w:r>
        <w:t xml:space="preserve"> </w:t>
      </w:r>
      <w:r>
        <w:t xml:space="preserve">(Fischer et al., 2002)</w:t>
      </w:r>
      <w:r>
        <w:t xml:space="preserve">.</w:t>
      </w:r>
    </w:p>
    <w:p>
      <w:pPr>
        <w:pStyle w:val="BodyText"/>
      </w:pPr>
      <w:r>
        <w:t xml:space="preserve">Using a panel of 106 developing and emerging economies over 1985–2020, covering 3474 country-year observations, we document that 12.9% of all country-year observations qualify as chronic-inflation episodes under our primary definition. The incidence peaked at 28.2% in 1995 and has since declined — but remains non-trivial at 6.8% in 2020, with notable concentration in Sub-Saharan Africa, South Asia, and — historically — Latin America and Türkiye.</w:t>
      </w:r>
    </w:p>
    <w:p>
      <w:pPr>
        <w:pStyle w:val="BodyText"/>
      </w:pPr>
      <w:r>
        <w:rPr>
          <w:b/>
          <w:bCs/>
        </w:rPr>
        <w:t xml:space="preserve">This paper shows four things.</w:t>
      </w:r>
      <w:r>
        <w:t xml:space="preserve"> </w:t>
      </w:r>
      <w:r>
        <w:t xml:space="preserve">First, exchange rate stability (ERS) is the dominant trilemma instrument: a one-standard-deviation increase in ERS reduces the chronic-inflation probability by</w:t>
      </w:r>
      <w:r>
        <w:t xml:space="preserve"> </w:t>
      </w:r>
      <w:r>
        <w:rPr>
          <w:b/>
          <w:bCs/>
        </w:rPr>
        <w:t xml:space="preserve">19.8 percentage points</w:t>
      </w:r>
      <w:r>
        <w:t xml:space="preserve"> </w:t>
      </w:r>
      <w:r>
        <w:t xml:space="preserve">(RE Probit, APE), and this effect is stable across the full sample period and all regional subsamples. Second, and contrary to conventional priors, monetary independence (MII)</w:t>
      </w:r>
      <w:r>
        <w:t xml:space="preserve"> </w:t>
      </w:r>
      <w:r>
        <w:rPr>
          <w:i/>
          <w:iCs/>
        </w:rPr>
        <w:t xml:space="preserve">raises</w:t>
      </w:r>
      <w:r>
        <w:t xml:space="preserve"> </w:t>
      </w:r>
      <w:r>
        <w:t xml:space="preserve">chronic inflation risk by</w:t>
      </w:r>
      <w:r>
        <w:t xml:space="preserve"> </w:t>
      </w:r>
      <w:r>
        <w:rPr>
          <w:b/>
          <w:bCs/>
        </w:rPr>
        <w:t xml:space="preserve">18.3 pp</w:t>
      </w:r>
      <w:r>
        <w:t xml:space="preserve"> </w:t>
      </w:r>
      <w:r>
        <w:t xml:space="preserve">per standard deviation — an empirical signature of the Barro-Gordon</w:t>
      </w:r>
      <w:r>
        <w:t xml:space="preserve"> </w:t>
      </w:r>
      <w:r>
        <w:t xml:space="preserve">(Barro &amp; Gordon, 1983)</w:t>
      </w:r>
      <w:r>
        <w:t xml:space="preserve"> </w:t>
      </w:r>
      <w:r>
        <w:t xml:space="preserve">time-inconsistency mechanism: central banks with unrestricted monetary discretion, absent an exchange-rate commitment device, systematically inflate beyond socially optimal levels. Third, capital account openness (KAOPEN) exerts a discipline effect: greater openness reduces chronic inflation by</w:t>
      </w:r>
      <w:r>
        <w:t xml:space="preserve"> </w:t>
      </w:r>
      <w:r>
        <w:rPr>
          <w:b/>
          <w:bCs/>
        </w:rPr>
        <w:t xml:space="preserve">7.5 pp</w:t>
      </w:r>
      <w:r>
        <w:t xml:space="preserve"> </w:t>
      </w:r>
      <w:r>
        <w:t xml:space="preserve">(APE), consistent with the market-accountability channel — mobile capital punishes monetary laxity through exchange-rate depreciation and capital flight. Fourth, the MII effect is strongest in the 1985–2000 sub-period (APE = +30.9 pp) and weakens post-2001, consistent with global disinflation reducing the scope for discretionary inflation bias.</w:t>
      </w:r>
    </w:p>
    <w:p>
      <w:pPr>
        <w:pStyle w:val="BodyText"/>
      </w:pPr>
      <w:r>
        <w:t xml:space="preserve">The paper contributes to three strands of literature. Against</w:t>
      </w:r>
      <w:r>
        <w:t xml:space="preserve"> </w:t>
      </w:r>
      <w:r>
        <w:t xml:space="preserve">Ito &amp; Kawai (2024)</w:t>
      </w:r>
      <w:r>
        <w:t xml:space="preserve">, who show that monetary policy effectiveness on inflation is highest under flexible exchange rate regimes using 2SLS and 61 EMDEs, we extend the analysis to the</w:t>
      </w:r>
      <w:r>
        <w:t xml:space="preserve"> </w:t>
      </w:r>
      <w:r>
        <w:rPr>
          <w:i/>
          <w:iCs/>
        </w:rPr>
        <w:t xml:space="preserve">chronic</w:t>
      </w:r>
      <w:r>
        <w:t xml:space="preserve"> </w:t>
      </w:r>
      <w:r>
        <w:t xml:space="preserve">dimension of inflation and deploy binary outcome models alongside inflation-level regressions, capturing the non-linear persistence threshold that defines chronic episodes. Against</w:t>
      </w:r>
      <w:r>
        <w:t xml:space="preserve"> </w:t>
      </w:r>
      <w:r>
        <w:t xml:space="preserve">Aizenman et al. (2013)</w:t>
      </w:r>
      <w:r>
        <w:t xml:space="preserve">, who introduce the trilemma constraint test but apply it to output and inflation</w:t>
      </w:r>
      <w:r>
        <w:t xml:space="preserve"> </w:t>
      </w:r>
      <w:r>
        <w:rPr>
          <w:i/>
          <w:iCs/>
        </w:rPr>
        <w:t xml:space="preserve">volatility</w:t>
      </w:r>
      <w:r>
        <w:t xml:space="preserve">, we focus on the chronic-inflation</w:t>
      </w:r>
      <w:r>
        <w:t xml:space="preserve"> </w:t>
      </w:r>
      <w:r>
        <w:rPr>
          <w:i/>
          <w:iCs/>
        </w:rPr>
        <w:t xml:space="preserve">level</w:t>
      </w:r>
      <w:r>
        <w:t xml:space="preserve"> </w:t>
      </w:r>
      <w:r>
        <w:t xml:space="preserve">and identify the interaction between trilemma corners and inflation traps. Against</w:t>
      </w:r>
      <w:r>
        <w:t xml:space="preserve"> </w:t>
      </w:r>
      <w:r>
        <w:t xml:space="preserve">Athanasopoulos et al. (2025)</w:t>
      </w:r>
      <w:r>
        <w:t xml:space="preserve">, who show that central bank independence reduces inflation persistence, we test whether the trilemma configuration mediates this CBI effect — a country may possess a formally independent central bank but still be trapped in chronic inflation if its trilemma configuration forecloses effective monetary policy.</w:t>
      </w:r>
    </w:p>
    <w:p>
      <w:pPr>
        <w:pStyle w:val="BodyText"/>
      </w:pPr>
      <w:r>
        <w:rPr>
          <w:i/>
          <w:iCs/>
        </w:rPr>
        <w:t xml:space="preserve">Section 2</w:t>
      </w:r>
      <w:r>
        <w:t xml:space="preserve"> </w:t>
      </w:r>
      <w:r>
        <w:t xml:space="preserve">presents the theoretical framework linking trilemma corners to chronic-inflation traps.</w:t>
      </w:r>
      <w:r>
        <w:t xml:space="preserve"> </w:t>
      </w:r>
      <w:r>
        <w:rPr>
          <w:i/>
          <w:iCs/>
        </w:rPr>
        <w:t xml:space="preserve">Section 3</w:t>
      </w:r>
      <w:r>
        <w:t xml:space="preserve"> </w:t>
      </w:r>
      <w:r>
        <w:t xml:space="preserve">describes data construction, with emphasis on the chronic-inflation measure and the Aizenman-Chinn-Ito trilemma indices.</w:t>
      </w:r>
      <w:r>
        <w:t xml:space="preserve"> </w:t>
      </w:r>
      <w:r>
        <w:rPr>
          <w:i/>
          <w:iCs/>
        </w:rPr>
        <w:t xml:space="preserve">Section 4</w:t>
      </w:r>
      <w:r>
        <w:t xml:space="preserve"> </w:t>
      </w:r>
      <w:r>
        <w:t xml:space="preserve">specifies the empirical strategy.</w:t>
      </w:r>
      <w:r>
        <w:t xml:space="preserve"> </w:t>
      </w:r>
      <w:r>
        <w:rPr>
          <w:i/>
          <w:iCs/>
        </w:rPr>
        <w:t xml:space="preserve">Section 5</w:t>
      </w:r>
      <w:r>
        <w:t xml:space="preserve"> </w:t>
      </w:r>
      <w:r>
        <w:t xml:space="preserve">reports main results.</w:t>
      </w:r>
      <w:r>
        <w:t xml:space="preserve"> </w:t>
      </w:r>
      <w:r>
        <w:rPr>
          <w:i/>
          <w:iCs/>
        </w:rPr>
        <w:t xml:space="preserve">Section 6</w:t>
      </w:r>
      <w:r>
        <w:t xml:space="preserve"> </w:t>
      </w:r>
      <w:r>
        <w:t xml:space="preserve">presents robustness checks.</w:t>
      </w:r>
      <w:r>
        <w:t xml:space="preserve"> </w:t>
      </w:r>
      <w:r>
        <w:rPr>
          <w:i/>
          <w:iCs/>
        </w:rPr>
        <w:t xml:space="preserve">Section 7</w:t>
      </w:r>
      <w:r>
        <w:t xml:space="preserve"> </w:t>
      </w:r>
      <w:r>
        <w:t xml:space="preserve">concludes.</w:t>
      </w:r>
    </w:p>
    <w:bookmarkEnd w:id="9"/>
    <w:bookmarkStart w:id="13" w:name="theoretical-framework-and-literature"/>
    <w:p>
      <w:pPr>
        <w:pStyle w:val="Heading1"/>
      </w:pPr>
      <w:r>
        <w:t xml:space="preserve">2. Theoretical Framework and Literature</w:t>
      </w:r>
    </w:p>
    <w:bookmarkStart w:id="10" w:name="X689ee6646edaa850aab98ef19896ca50214e5e4"/>
    <w:p>
      <w:pPr>
        <w:pStyle w:val="Heading2"/>
      </w:pPr>
      <w:r>
        <w:t xml:space="preserve">2.1 The Impossible Trinity: A Formal Statement</w:t>
      </w:r>
    </w:p>
    <w:p>
      <w:pPr>
        <w:pStyle w:val="FirstParagraph"/>
      </w:pPr>
      <w:r>
        <w:t xml:space="preserve">Let</w:t>
      </w:r>
      <w:r>
        <w:t xml:space="preserve"> </w:t>
      </w:r>
      <m:oMath>
        <m:r>
          <m:t>M</m:t>
        </m:r>
        <m:sSub>
          <m:e>
            <m:r>
              <m:t>I</m:t>
            </m:r>
          </m:e>
          <m:sub>
            <m:r>
              <m:t>i</m:t>
            </m:r>
            <m:r>
              <m:t>t</m:t>
            </m:r>
          </m:sub>
        </m:sSub>
      </m:oMath>
      <w:r>
        <w:t xml:space="preserve">,</w:t>
      </w:r>
      <w:r>
        <w:t xml:space="preserve"> </w:t>
      </w:r>
      <m:oMath>
        <m:r>
          <m:t>E</m:t>
        </m:r>
        <m:r>
          <m:t>R</m:t>
        </m:r>
        <m:sSub>
          <m:e>
            <m:r>
              <m:t>S</m:t>
            </m:r>
          </m:e>
          <m:sub>
            <m:r>
              <m:t>i</m:t>
            </m:r>
            <m:r>
              <m:t>t</m:t>
            </m:r>
          </m:sub>
        </m:sSub>
      </m:oMath>
      <w:r>
        <w:t xml:space="preserve">, and</w:t>
      </w:r>
      <w:r>
        <w:t xml:space="preserve"> </w:t>
      </w:r>
      <m:oMath>
        <m:r>
          <m:t>F</m:t>
        </m:r>
        <m:sSub>
          <m:e>
            <m:r>
              <m:t>O</m:t>
            </m:r>
          </m:e>
          <m:sub>
            <m:r>
              <m:t>i</m:t>
            </m:r>
            <m:r>
              <m:t>t</m:t>
            </m:r>
          </m:sub>
        </m:sSub>
      </m:oMath>
      <w:r>
        <w:t xml:space="preserve"> </w:t>
      </w:r>
      <w:r>
        <w:t xml:space="preserve">denote country</w:t>
      </w:r>
      <w:r>
        <w:t xml:space="preserve"> </w:t>
      </w:r>
      <m:oMath>
        <m:r>
          <m:t>i</m:t>
        </m:r>
      </m:oMath>
      <w:r>
        <w:t xml:space="preserve">’s degree of monetary independence, exchange rate stability, and financial openness in year</w:t>
      </w:r>
      <w:r>
        <w:t xml:space="preserve"> </w:t>
      </w:r>
      <m:oMath>
        <m:r>
          <m:t>t</m:t>
        </m:r>
      </m:oMath>
      <w:r>
        <w:t xml:space="preserve">, each normalised to</w:t>
      </w:r>
      <w:r>
        <w:t xml:space="preserve"> </w:t>
      </w:r>
      <m:oMath>
        <m:r>
          <m:rPr>
            <m:sty m:val="p"/>
          </m:rPr>
          <m:t>[</m:t>
        </m:r>
        <m:r>
          <m:t>0</m:t>
        </m:r>
        <m:r>
          <m:rPr>
            <m:sty m:val="p"/>
          </m:rPr>
          <m:t>,</m:t>
        </m:r>
        <m:r>
          <m:t>1</m:t>
        </m:r>
        <m:r>
          <m:rPr>
            <m:sty m:val="p"/>
          </m:rPr>
          <m:t>]</m:t>
        </m:r>
      </m:oMath>
      <w:r>
        <w:t xml:space="preserve">. The trilemma constraint, tested empirically by</w:t>
      </w:r>
      <w:r>
        <w:t xml:space="preserve"> </w:t>
      </w:r>
      <w:r>
        <w:t xml:space="preserve">Aizenman et al. (2013)</w:t>
      </w:r>
      <w:r>
        <w:t xml:space="preserve">, imposes:</w:t>
      </w:r>
    </w:p>
    <w:p>
      <w:pPr>
        <w:pStyle w:val="BodyText"/>
      </w:pPr>
      <m:oMathPara>
        <m:oMathParaPr>
          <m:jc m:val="center"/>
        </m:oMathParaPr>
        <m:oMath>
          <m:r>
            <m:t>M</m:t>
          </m:r>
          <m:sSub>
            <m:e>
              <m:r>
                <m:t>I</m:t>
              </m:r>
            </m:e>
            <m:sub>
              <m:r>
                <m:t>i</m:t>
              </m:r>
              <m:r>
                <m:t>t</m:t>
              </m:r>
            </m:sub>
          </m:sSub>
          <m:r>
            <m:rPr>
              <m:sty m:val="p"/>
            </m:rPr>
            <m:t>+</m:t>
          </m:r>
          <m:r>
            <m:t>E</m:t>
          </m:r>
          <m:r>
            <m:t>R</m:t>
          </m:r>
          <m:sSub>
            <m:e>
              <m:r>
                <m:t>S</m:t>
              </m:r>
            </m:e>
            <m:sub>
              <m:r>
                <m:t>i</m:t>
              </m:r>
              <m:r>
                <m:t>t</m:t>
              </m:r>
            </m:sub>
          </m:sSub>
          <m:r>
            <m:rPr>
              <m:sty m:val="p"/>
            </m:rPr>
            <m:t>+</m:t>
          </m:r>
          <m:r>
            <m:t>F</m:t>
          </m:r>
          <m:sSub>
            <m:e>
              <m:r>
                <m:t>O</m:t>
              </m:r>
            </m:e>
            <m:sub>
              <m:r>
                <m:t>i</m:t>
              </m:r>
              <m:r>
                <m:t>t</m:t>
              </m:r>
            </m:sub>
          </m:sSub>
          <m:r>
            <m:rPr>
              <m:sty m:val="p"/>
            </m:rPr>
            <m:t>≈</m:t>
          </m:r>
          <m:r>
            <m:t>k</m:t>
          </m:r>
          <m:r>
            <m:rPr>
              <m:sty m:val="p"/>
            </m:rPr>
            <m:t>,</m:t>
          </m:r>
          <m:r>
            <m:t> </m:t>
          </m:r>
          <m:r>
            <m:t>k</m:t>
          </m:r>
          <m:r>
            <m:rPr>
              <m:sty m:val="p"/>
            </m:rPr>
            <m:t>∈</m:t>
          </m:r>
          <m:r>
            <m:rPr>
              <m:sty m:val="p"/>
            </m:rPr>
            <m:t>(</m:t>
          </m:r>
          <m:r>
            <m:t>1.5</m:t>
          </m:r>
          <m:r>
            <m:rPr>
              <m:sty m:val="p"/>
            </m:rPr>
            <m:t>,</m:t>
          </m:r>
          <m:r>
            <m:t>2.0</m:t>
          </m:r>
          <m:r>
            <m:rPr>
              <m:sty m:val="p"/>
            </m:rPr>
            <m:t>)</m:t>
          </m:r>
        </m:oMath>
      </m:oMathPara>
    </w:p>
    <w:p>
      <w:pPr>
        <w:pStyle w:val="FirstParagraph"/>
      </w:pPr>
      <w:r>
        <w:t xml:space="preserve">where</w:t>
      </w:r>
      <w:r>
        <w:t xml:space="preserve"> </w:t>
      </w:r>
      <m:oMath>
        <m:r>
          <m:t>k</m:t>
        </m:r>
      </m:oMath>
      <w:r>
        <w:t xml:space="preserve"> </w:t>
      </w:r>
      <w:r>
        <w:t xml:space="preserve">reflects that corner solutions (any index at its maximum of 1) force the other two to share the remaining policy space. Equation (1) is not a strict identity but an empirically testable constraint on the joint distribution of trilemma configurations.</w:t>
      </w:r>
    </w:p>
    <w:bookmarkEnd w:id="10"/>
    <w:bookmarkStart w:id="11" w:name="X477eafd94958f41ac9946c7912f93b89880c5d4"/>
    <w:p>
      <w:pPr>
        <w:pStyle w:val="Heading2"/>
      </w:pPr>
      <w:r>
        <w:t xml:space="preserve">2.2 Three Mechanisms Linking Trilemma to Chronic Inflation</w:t>
      </w:r>
    </w:p>
    <w:p>
      <w:pPr>
        <w:pStyle w:val="FirstParagraph"/>
      </w:pPr>
      <w:r>
        <w:rPr>
          <w:b/>
          <w:bCs/>
        </w:rPr>
        <w:t xml:space="preserve">Mechanism 1 — Barro-Gordon Discretion (via high MII without ERS anchor).</w:t>
      </w:r>
      <w:r>
        <w:t xml:space="preserve"> </w:t>
      </w:r>
      <w:r>
        <w:t xml:space="preserve">When</w:t>
      </w:r>
      <w:r>
        <w:t xml:space="preserve"> </w:t>
      </w:r>
      <m:oMath>
        <m:r>
          <m:t>M</m:t>
        </m:r>
        <m:sSub>
          <m:e>
            <m:r>
              <m:t>I</m:t>
            </m:r>
          </m:e>
          <m:sub>
            <m:r>
              <m:t>i</m:t>
            </m:r>
            <m:r>
              <m:t>t</m:t>
            </m:r>
          </m:sub>
        </m:sSub>
        <m:r>
          <m:rPr>
            <m:sty m:val="p"/>
          </m:rPr>
          <m:t>→</m:t>
        </m:r>
        <m:r>
          <m:t>1</m:t>
        </m:r>
      </m:oMath>
      <w:r>
        <w:t xml:space="preserve"> </w:t>
      </w:r>
      <w:r>
        <w:t xml:space="preserve">(full monetary independence retained) but exchange rate stability is low (</w:t>
      </w:r>
      <m:oMath>
        <m:r>
          <m:t>E</m:t>
        </m:r>
        <m:r>
          <m:t>R</m:t>
        </m:r>
        <m:sSub>
          <m:e>
            <m:r>
              <m:t>S</m:t>
            </m:r>
          </m:e>
          <m:sub>
            <m:r>
              <m:t>i</m:t>
            </m:r>
            <m:r>
              <m:t>t</m:t>
            </m:r>
          </m:sub>
        </m:sSub>
        <m:r>
          <m:rPr>
            <m:sty m:val="p"/>
          </m:rPr>
          <m:t>→</m:t>
        </m:r>
        <m:r>
          <m:t>0</m:t>
        </m:r>
      </m:oMath>
      <w:r>
        <w:t xml:space="preserve">), the central bank faces no commitment device and exploits the short-run inflation-output tradeoff. This is the canonical</w:t>
      </w:r>
      <w:r>
        <w:t xml:space="preserve"> </w:t>
      </w:r>
      <w:r>
        <w:t xml:space="preserve">Barro &amp; Gordon (1983)</w:t>
      </w:r>
      <w:r>
        <w:t xml:space="preserve"> </w:t>
      </w:r>
      <w:r>
        <w:t xml:space="preserve">time-inconsistency mechanism in open-economy form: a central bank with full discretion over the money supply and no exchange-rate anchor chooses the inflation-biased equilibrium in every period, because agents anticipate exactly this behaviour in forming expectations. The resulting Nash equilibrium delivers permanently elevated inflation with no output gain. The key open-economy extension is that</w:t>
      </w:r>
      <w:r>
        <w:t xml:space="preserve"> </w:t>
      </w:r>
      <w:r>
        <w:rPr>
          <w:i/>
          <w:iCs/>
        </w:rPr>
        <w:t xml:space="preserve">full monetary independence, absent an exchange-rate anchor, is the institutional condition that enables — not prevents — chronic inflation</w:t>
      </w:r>
      <w:r>
        <w:t xml:space="preserve">.</w:t>
      </w:r>
    </w:p>
    <w:p>
      <w:pPr>
        <w:pStyle w:val="BodyText"/>
      </w:pPr>
      <w:r>
        <w:rPr>
          <w:i/>
          <w:iCs/>
        </w:rPr>
        <w:t xml:space="preserve">Prediction:</w:t>
      </w:r>
      <w:r>
        <w:t xml:space="preserve"> </w:t>
      </w:r>
      <m:oMath>
        <m:f>
          <m:fPr>
            <m:type m:val="bar"/>
          </m:fPr>
          <m:num>
            <m:r>
              <m:rPr>
                <m:sty m:val="p"/>
              </m:rPr>
              <m:t>∂</m:t>
            </m:r>
            <m:r>
              <m:t>P</m:t>
            </m:r>
            <m:r>
              <m:rPr>
                <m:sty m:val="p"/>
              </m:rPr>
              <m:t>(</m:t>
            </m:r>
            <m:sSub>
              <m:e>
                <m:r>
                  <m:rPr>
                    <m:nor/>
                    <m:sty m:val="p"/>
                  </m:rPr>
                  <m:t>chronic</m:t>
                </m:r>
              </m:e>
              <m:sub>
                <m:r>
                  <m:t>i</m:t>
                </m:r>
                <m:r>
                  <m:t>t</m:t>
                </m:r>
              </m:sub>
            </m:sSub>
            <m:r>
              <m:rPr>
                <m:sty m:val="p"/>
              </m:rPr>
              <m:t>)</m:t>
            </m:r>
          </m:num>
          <m:den>
            <m:r>
              <m:rPr>
                <m:sty m:val="p"/>
              </m:rPr>
              <m:t>∂</m:t>
            </m:r>
            <m:r>
              <m:t>M</m:t>
            </m:r>
            <m:sSub>
              <m:e>
                <m:r>
                  <m:t>I</m:t>
                </m:r>
              </m:e>
              <m:sub>
                <m:r>
                  <m:t>i</m:t>
                </m:r>
                <m:r>
                  <m:t>t</m:t>
                </m:r>
              </m:sub>
            </m:sSub>
          </m:den>
        </m:f>
        <m:r>
          <m:rPr>
            <m:sty m:val="p"/>
          </m:rPr>
          <m:t>&gt;</m:t>
        </m:r>
        <m:r>
          <m:t>0</m:t>
        </m:r>
      </m:oMath>
      <w:r>
        <w:t xml:space="preserve">, conditional on</w:t>
      </w:r>
      <w:r>
        <w:t xml:space="preserve"> </w:t>
      </w:r>
      <m:oMath>
        <m:r>
          <m:t>E</m:t>
        </m:r>
        <m:r>
          <m:t>R</m:t>
        </m:r>
        <m:sSub>
          <m:e>
            <m:r>
              <m:t>S</m:t>
            </m:r>
          </m:e>
          <m:sub>
            <m:r>
              <m:t>i</m:t>
            </m:r>
            <m:r>
              <m:t>t</m:t>
            </m:r>
          </m:sub>
        </m:sSub>
      </m:oMath>
      <w:r>
        <w:t xml:space="preserve"> </w:t>
      </w:r>
      <w:r>
        <w:t xml:space="preserve">below the sample median.</w:t>
      </w:r>
    </w:p>
    <w:p>
      <w:pPr>
        <w:pStyle w:val="BodyText"/>
      </w:pPr>
      <w:r>
        <w:rPr>
          <w:b/>
          <w:bCs/>
        </w:rPr>
        <w:t xml:space="preserve">Mechanism 2 — Passthrough Amplification (via high FO and low MII).</w:t>
      </w:r>
      <w:r>
        <w:t xml:space="preserve"> </w:t>
      </w:r>
      <w:r>
        <w:t xml:space="preserve">When capital is mobile (</w:t>
      </w:r>
      <m:oMath>
        <m:r>
          <m:t>F</m:t>
        </m:r>
        <m:sSub>
          <m:e>
            <m:r>
              <m:t>O</m:t>
            </m:r>
          </m:e>
          <m:sub>
            <m:r>
              <m:t>i</m:t>
            </m:r>
            <m:r>
              <m:t>t</m:t>
            </m:r>
          </m:sub>
        </m:sSub>
      </m:oMath>
      <w:r>
        <w:t xml:space="preserve"> </w:t>
      </w:r>
      <w:r>
        <w:t xml:space="preserve">high) but monetary independence is low, a domestic demand shock triggers capital outflows and exchange-rate depreciation. The pass-through of exchange-rate movements to domestic prices — documented for developing economies by</w:t>
      </w:r>
      <w:r>
        <w:t xml:space="preserve"> </w:t>
      </w:r>
      <w:r>
        <w:t xml:space="preserve">Citci &amp; Kaya (2023, p. 149 countries)</w:t>
      </w:r>
      <w:r>
        <w:t xml:space="preserve"> </w:t>
      </w:r>
      <w:r>
        <w:t xml:space="preserve">— amplifies the inflationary shock. With no independent monetary response, the feedback loop between depreciation and inflation persistence intensifies.</w:t>
      </w:r>
    </w:p>
    <w:p>
      <w:pPr>
        <w:pStyle w:val="BodyText"/>
      </w:pPr>
      <w:r>
        <w:rPr>
          <w:i/>
          <w:iCs/>
        </w:rPr>
        <w:t xml:space="preserve">Prediction:</w:t>
      </w:r>
      <w:r>
        <w:t xml:space="preserve"> </w:t>
      </w:r>
      <m:oMath>
        <m:f>
          <m:fPr>
            <m:type m:val="bar"/>
          </m:fPr>
          <m:num>
            <m:sSup>
              <m:e>
                <m:r>
                  <m:rPr>
                    <m:sty m:val="p"/>
                  </m:rPr>
                  <m:t>∂</m:t>
                </m:r>
              </m:e>
              <m:sup>
                <m:r>
                  <m:t>2</m:t>
                </m:r>
              </m:sup>
            </m:sSup>
            <m:r>
              <m:t>P</m:t>
            </m:r>
            <m:r>
              <m:rPr>
                <m:sty m:val="p"/>
              </m:rPr>
              <m:t>(</m:t>
            </m:r>
            <m:sSub>
              <m:e>
                <m:r>
                  <m:rPr>
                    <m:nor/>
                    <m:sty m:val="p"/>
                  </m:rPr>
                  <m:t>chronic</m:t>
                </m:r>
              </m:e>
              <m:sub>
                <m:r>
                  <m:t>i</m:t>
                </m:r>
                <m:r>
                  <m:t>t</m:t>
                </m:r>
              </m:sub>
            </m:sSub>
            <m:r>
              <m:rPr>
                <m:sty m:val="p"/>
              </m:rPr>
              <m:t>)</m:t>
            </m:r>
          </m:num>
          <m:den>
            <m:r>
              <m:rPr>
                <m:sty m:val="p"/>
              </m:rPr>
              <m:t>∂</m:t>
            </m:r>
            <m:r>
              <m:t>M</m:t>
            </m:r>
            <m:sSub>
              <m:e>
                <m:r>
                  <m:t>I</m:t>
                </m:r>
              </m:e>
              <m:sub>
                <m:r>
                  <m:t>i</m:t>
                </m:r>
                <m:r>
                  <m:t>t</m:t>
                </m:r>
              </m:sub>
            </m:sSub>
            <m:r>
              <m:rPr>
                <m:sty m:val="p"/>
              </m:rPr>
              <m:t>∂</m:t>
            </m:r>
            <m:r>
              <m:t>F</m:t>
            </m:r>
            <m:sSub>
              <m:e>
                <m:r>
                  <m:t>O</m:t>
                </m:r>
              </m:e>
              <m:sub>
                <m:r>
                  <m:t>i</m:t>
                </m:r>
                <m:r>
                  <m:t>t</m:t>
                </m:r>
              </m:sub>
            </m:sSub>
          </m:den>
        </m:f>
        <m:r>
          <m:rPr>
            <m:sty m:val="p"/>
          </m:rPr>
          <m:t>&lt;</m:t>
        </m:r>
        <m:r>
          <m:t>0</m:t>
        </m:r>
      </m:oMath>
      <w:r>
        <w:t xml:space="preserve"> </w:t>
      </w:r>
      <w:r>
        <w:t xml:space="preserve">(interaction term negative)</w:t>
      </w:r>
    </w:p>
    <w:p>
      <w:pPr>
        <w:pStyle w:val="BodyText"/>
      </w:pPr>
      <w:r>
        <w:rPr>
          <w:b/>
          <w:bCs/>
        </w:rPr>
        <w:t xml:space="preserve">Mechanism 3 — Fiscal Dominance and Peg Fragility (via corner ERS).</w:t>
      </w:r>
      <w:r>
        <w:t xml:space="preserve"> </w:t>
      </w:r>
      <w:r>
        <w:t xml:space="preserve">Hard pegs (</w:t>
      </w:r>
      <m:oMath>
        <m:r>
          <m:t>E</m:t>
        </m:r>
        <m:r>
          <m:t>R</m:t>
        </m:r>
        <m:sSub>
          <m:e>
            <m:r>
              <m:t>S</m:t>
            </m:r>
          </m:e>
          <m:sub>
            <m:r>
              <m:t>i</m:t>
            </m:r>
            <m:r>
              <m:t>t</m:t>
            </m:r>
          </m:sub>
        </m:sSub>
        <m:r>
          <m:rPr>
            <m:sty m:val="p"/>
          </m:rPr>
          <m:t>→</m:t>
        </m:r>
        <m:r>
          <m:t>1</m:t>
        </m:r>
      </m:oMath>
      <w:r>
        <w:t xml:space="preserve">) impose exchange-rate discipline</w:t>
      </w:r>
      <w:r>
        <w:t xml:space="preserve"> </w:t>
      </w:r>
      <w:r>
        <w:rPr>
          <w:i/>
          <w:iCs/>
        </w:rPr>
        <w:t xml:space="preserve">ex ante</w:t>
      </w:r>
      <w:r>
        <w:t xml:space="preserve"> </w:t>
      </w:r>
      <w:r>
        <w:t xml:space="preserve">but create devaluation risk</w:t>
      </w:r>
      <w:r>
        <w:t xml:space="preserve"> </w:t>
      </w:r>
      <w:r>
        <w:rPr>
          <w:i/>
          <w:iCs/>
        </w:rPr>
        <w:t xml:space="preserve">ex post</w:t>
      </w:r>
      <w:r>
        <w:t xml:space="preserve"> </w:t>
      </w:r>
      <w:r>
        <w:t xml:space="preserve">when fiscal accounts deteriorate. Reserve depletion under a peg eventually forces a discrete devaluation, generating a large one-time price jump that initiates a chronic episode. This mechanism implies a potentially non-linear (concave) relationship between ERS and chronic inflation probability at the upper end of the ERS distribution. Formally testing the concavity prediction (via an ERS² term) requires conditioning on fiscal-balance data with coverage comparable to the trilemma panel; given IMF WEO fiscal balance coverage of only 78.2% of observations in the current dataset, we treat this channel as a theoretical boundary condition and leave its estimation for future work.</w:t>
      </w:r>
    </w:p>
    <w:bookmarkEnd w:id="11"/>
    <w:bookmarkStart w:id="12" w:name="relationship-to-existing-literature"/>
    <w:p>
      <w:pPr>
        <w:pStyle w:val="Heading2"/>
      </w:pPr>
      <w:r>
        <w:t xml:space="preserve">2.3 Relationship to Existing Literature</w:t>
      </w:r>
    </w:p>
    <w:p>
      <w:pPr>
        <w:pStyle w:val="FirstParagraph"/>
      </w:pPr>
      <w:r>
        <w:t xml:space="preserve">Montes et al. (2024)</w:t>
      </w:r>
      <w:r>
        <w:t xml:space="preserve"> </w:t>
      </w:r>
      <w:r>
        <w:t xml:space="preserve">examine the effects of trilemma policy credibility on monetary policy efficiency across 94 countries (1998–2019) using Tobit models, finding that middle-ground convergence increases credibility. We complement this by using chronic inflation directly as the outcome, which does not rely on the intermediate step of credibility measurement.</w:t>
      </w:r>
      <w:r>
        <w:t xml:space="preserve"> </w:t>
      </w:r>
      <w:r>
        <w:t xml:space="preserve">Ito &amp; Kawai (2024)</w:t>
      </w:r>
      <w:r>
        <w:t xml:space="preserve"> </w:t>
      </w:r>
      <w:r>
        <w:t xml:space="preserve">test monetary and fiscal policy impacts under alternative trilemma regimes for 61 EMDEs (1971–2020), finding that monetary policy is most effective in stimulating inflation under the flexible-rate regime. We extend this in two directions: (i) distinguishing</w:t>
      </w:r>
      <w:r>
        <w:t xml:space="preserve"> </w:t>
      </w:r>
      <w:r>
        <w:rPr>
          <w:i/>
          <w:iCs/>
        </w:rPr>
        <w:t xml:space="preserve">chronic</w:t>
      </w:r>
      <w:r>
        <w:t xml:space="preserve"> </w:t>
      </w:r>
      <w:r>
        <w:t xml:space="preserve">from episodic inflation and (ii) testing the interaction between monetary independence and capital openness.</w:t>
      </w:r>
    </w:p>
    <w:bookmarkEnd w:id="12"/>
    <w:bookmarkEnd w:id="13"/>
    <w:bookmarkStart w:id="24" w:name="data"/>
    <w:p>
      <w:pPr>
        <w:pStyle w:val="Heading1"/>
      </w:pPr>
      <w:r>
        <w:t xml:space="preserve">3. Data</w:t>
      </w:r>
    </w:p>
    <w:bookmarkStart w:id="15" w:name="trilemma-indices"/>
    <w:p>
      <w:pPr>
        <w:pStyle w:val="Heading2"/>
      </w:pPr>
      <w:r>
        <w:t xml:space="preserve">3.1 Trilemma Indices</w:t>
      </w:r>
    </w:p>
    <w:p>
      <w:pPr>
        <w:pStyle w:val="FirstParagraph"/>
      </w:pPr>
      <w:r>
        <w:t xml:space="preserve">The trilemma indices are obtained from</w:t>
      </w:r>
      <w:r>
        <w:t xml:space="preserve"> </w:t>
      </w:r>
      <w:r>
        <w:t xml:space="preserve">Aizenman et al. (2010)</w:t>
      </w:r>
      <w:r>
        <w:t xml:space="preserve"> </w:t>
      </w:r>
      <w:r>
        <w:t xml:space="preserve">and</w:t>
      </w:r>
      <w:r>
        <w:t xml:space="preserve"> </w:t>
      </w:r>
      <w:r>
        <w:t xml:space="preserve">Aizenman et al. (2013)</w:t>
      </w:r>
      <w:r>
        <w:t xml:space="preserve">, available at</w:t>
      </w:r>
      <w:r>
        <w:t xml:space="preserve"> </w:t>
      </w:r>
      <w:hyperlink r:id="rId14">
        <w:r>
          <w:rPr>
            <w:rStyle w:val="Hyperlink"/>
          </w:rPr>
          <w:t xml:space="preserve">web.pdx.edu/~ito/trilemma_indexes.htm</w:t>
        </w:r>
      </w:hyperlink>
      <w:r>
        <w:t xml:space="preserve">. Three series are employed:</w:t>
      </w:r>
    </w:p>
    <w:p>
      <w:pPr>
        <w:pStyle w:val="Compact"/>
        <w:numPr>
          <w:ilvl w:val="0"/>
          <w:numId w:val="1001"/>
        </w:numPr>
      </w:pPr>
      <w:r>
        <w:rPr>
          <w:b/>
          <w:bCs/>
        </w:rPr>
        <w:t xml:space="preserve">MII</w:t>
      </w:r>
      <w:r>
        <w:t xml:space="preserve"> </w:t>
      </w:r>
      <w:r>
        <w:t xml:space="preserve">(Monetary Independence Index): correlation-based measure of the degree to which domestic interest rates are determined independently of the base country rate. Available for 172 countries, 1960–2020.</w:t>
      </w:r>
    </w:p>
    <w:p>
      <w:pPr>
        <w:pStyle w:val="Compact"/>
        <w:numPr>
          <w:ilvl w:val="0"/>
          <w:numId w:val="1001"/>
        </w:numPr>
      </w:pPr>
      <w:r>
        <w:rPr>
          <w:b/>
          <w:bCs/>
        </w:rPr>
        <w:t xml:space="preserve">ERS</w:t>
      </w:r>
      <w:r>
        <w:t xml:space="preserve"> </w:t>
      </w:r>
      <w:r>
        <w:t xml:space="preserve">(Exchange Rate Stability Index): inverse of the standard deviation of bilateral exchange rate changes against the base country. Available for 181 countries, 1961–2020.</w:t>
      </w:r>
    </w:p>
    <w:p>
      <w:pPr>
        <w:pStyle w:val="Compact"/>
        <w:numPr>
          <w:ilvl w:val="0"/>
          <w:numId w:val="1001"/>
        </w:numPr>
      </w:pPr>
      <w:r>
        <w:rPr>
          <w:b/>
          <w:bCs/>
        </w:rPr>
        <w:t xml:space="preserve">KAOPEN</w:t>
      </w:r>
      <w:r>
        <w:t xml:space="preserve"> </w:t>
      </w:r>
      <w:r>
        <w:t xml:space="preserve">(Chinn-Ito financial openness index): first principal component of IMF AREAER capital account restrictions. Updated to 2023; available for 181 countries, 1970–2023.</w:t>
      </w:r>
    </w:p>
    <w:p>
      <w:pPr>
        <w:pStyle w:val="FirstParagraph"/>
      </w:pPr>
      <w:r>
        <w:t xml:space="preserve">All three indices are normalised to</w:t>
      </w:r>
      <w:r>
        <w:t xml:space="preserve"> </w:t>
      </w:r>
      <m:oMath>
        <m:r>
          <m:rPr>
            <m:sty m:val="p"/>
          </m:rPr>
          <m:t>[</m:t>
        </m:r>
        <m:r>
          <m:t>0</m:t>
        </m:r>
        <m:r>
          <m:rPr>
            <m:sty m:val="p"/>
          </m:rPr>
          <m:t>,</m:t>
        </m:r>
        <m:r>
          <m:t>1</m:t>
        </m:r>
        <m:r>
          <m:rPr>
            <m:sty m:val="p"/>
          </m:rPr>
          <m:t>]</m:t>
        </m:r>
      </m:oMath>
      <w:r>
        <w:t xml:space="preserve"> </w:t>
      </w:r>
      <w:r>
        <w:t xml:space="preserve">for the trilemma regression. Note that the MII and ERS series extend only to 2020; the KAOPEN update to 2023 is available but not used here to maintain consistency with the trilemma-index dataset. This constraint on the sample end-year (T = 2020) is documented as a limitation.</w:t>
      </w:r>
    </w:p>
    <w:bookmarkEnd w:id="15"/>
    <w:bookmarkStart w:id="16" w:name="chronic-inflation-measure"/>
    <w:p>
      <w:pPr>
        <w:pStyle w:val="Heading2"/>
      </w:pPr>
      <w:r>
        <w:t xml:space="preserve">3.2 Chronic Inflation Measure</w:t>
      </w:r>
    </w:p>
    <w:p>
      <w:pPr>
        <w:pStyle w:val="FirstParagraph"/>
      </w:pPr>
      <w:r>
        <w:t xml:space="preserve">Chronic inflation is defined as a binary indicator equal to one when country</w:t>
      </w:r>
      <w:r>
        <w:t xml:space="preserve"> </w:t>
      </w:r>
      <m:oMath>
        <m:r>
          <m:t>i</m:t>
        </m:r>
      </m:oMath>
      <w:r>
        <w:t xml:space="preserve"> </w:t>
      </w:r>
      <w:r>
        <w:t xml:space="preserve">reports CPI growth exceeding a threshold</w:t>
      </w:r>
      <w:r>
        <w:t xml:space="preserve"> </w:t>
      </w:r>
      <m:oMath>
        <m:acc>
          <m:accPr>
            <m:chr m:val="‾"/>
          </m:accPr>
          <m:e>
            <m:r>
              <m:t>π</m:t>
            </m:r>
          </m:e>
        </m:acc>
      </m:oMath>
      <w:r>
        <w:t xml:space="preserve"> </w:t>
      </w:r>
      <w:r>
        <w:t xml:space="preserve">for</w:t>
      </w:r>
      <w:r>
        <w:t xml:space="preserve"> </w:t>
      </w:r>
      <m:oMath>
        <m:r>
          <m:t>k</m:t>
        </m:r>
      </m:oMath>
      <w:r>
        <w:t xml:space="preserve"> </w:t>
      </w:r>
      <w:r>
        <w:t xml:space="preserve">or more</w:t>
      </w:r>
      <w:r>
        <w:t xml:space="preserve"> </w:t>
      </w:r>
      <w:r>
        <w:rPr>
          <w:i/>
          <w:iCs/>
        </w:rPr>
        <w:t xml:space="preserve">consecutive</w:t>
      </w:r>
      <w:r>
        <w:t xml:space="preserve"> </w:t>
      </w:r>
      <w:r>
        <w:t xml:space="preserve">years:</w:t>
      </w:r>
    </w:p>
    <w:p>
      <w:pPr>
        <w:pStyle w:val="BodyText"/>
      </w:pPr>
      <m:oMathPara>
        <m:oMathParaPr>
          <m:jc m:val="center"/>
        </m:oMathParaPr>
        <m:oMath>
          <m:sSub>
            <m:e>
              <m:r>
                <m:rPr>
                  <m:nor/>
                  <m:sty m:val="p"/>
                </m:rPr>
                <m:t>chronic</m:t>
              </m:r>
            </m:e>
            <m:sub>
              <m:r>
                <m:t>i</m:t>
              </m:r>
              <m:r>
                <m:t>t</m:t>
              </m:r>
            </m:sub>
          </m:sSub>
          <m:r>
            <m:rPr>
              <m:sty m:val="p"/>
            </m:rPr>
            <m:t>=</m:t>
          </m:r>
          <m:r>
            <m:rPr>
              <m:sty m:val="b"/>
            </m:rPr>
            <m:t>1</m:t>
          </m:r>
          <m:d>
            <m:dPr>
              <m:begChr m:val="{"/>
              <m:sepChr m:val=""/>
              <m:endChr m:val="}"/>
              <m:grow/>
            </m:dPr>
            <m:e>
              <m:sSub>
                <m:e>
                  <m:r>
                    <m:t>π</m:t>
                  </m:r>
                </m:e>
                <m:sub>
                  <m:r>
                    <m:t>i</m:t>
                  </m:r>
                  <m:r>
                    <m:rPr>
                      <m:sty m:val="p"/>
                    </m:rPr>
                    <m:t>,</m:t>
                  </m:r>
                  <m:r>
                    <m:t>t</m:t>
                  </m:r>
                  <m:r>
                    <m:rPr>
                      <m:sty m:val="p"/>
                    </m:rPr>
                    <m:t>−</m:t>
                  </m:r>
                  <m:r>
                    <m:t>k</m:t>
                  </m:r>
                  <m:r>
                    <m:rPr>
                      <m:sty m:val="p"/>
                    </m:rPr>
                    <m:t>+</m:t>
                  </m:r>
                  <m:r>
                    <m:t>1</m:t>
                  </m:r>
                </m:sub>
              </m:sSub>
              <m:r>
                <m:rPr>
                  <m:sty m:val="p"/>
                </m:rPr>
                <m:t>&gt;</m:t>
              </m:r>
              <m:acc>
                <m:accPr>
                  <m:chr m:val="‾"/>
                </m:accPr>
                <m:e>
                  <m:r>
                    <m:t>π</m:t>
                  </m:r>
                </m:e>
              </m:acc>
              <m:r>
                <m:rPr>
                  <m:sty m:val="p"/>
                </m:rPr>
                <m:t>,</m:t>
              </m:r>
              <m:r>
                <m:rPr>
                  <m:sty m:val="p"/>
                </m:rPr>
                <m:t>…</m:t>
              </m:r>
              <m:r>
                <m:rPr>
                  <m:sty m:val="p"/>
                </m:rPr>
                <m:t>,</m:t>
              </m:r>
              <m:sSub>
                <m:e>
                  <m:r>
                    <m:t>π</m:t>
                  </m:r>
                </m:e>
                <m:sub>
                  <m:r>
                    <m:t>i</m:t>
                  </m:r>
                  <m:r>
                    <m:t>t</m:t>
                  </m:r>
                </m:sub>
              </m:sSub>
              <m:r>
                <m:rPr>
                  <m:sty m:val="p"/>
                </m:rPr>
                <m:t>&gt;</m:t>
              </m:r>
              <m:acc>
                <m:accPr>
                  <m:chr m:val="‾"/>
                </m:accPr>
                <m:e>
                  <m:r>
                    <m:t>π</m:t>
                  </m:r>
                </m:e>
              </m:acc>
            </m:e>
          </m:d>
        </m:oMath>
      </m:oMathPara>
    </w:p>
    <w:p>
      <w:pPr>
        <w:pStyle w:val="FirstParagraph"/>
      </w:pPr>
      <w:r>
        <w:t xml:space="preserve">Primary specification:</w:t>
      </w:r>
      <w:r>
        <w:t xml:space="preserve"> </w:t>
      </w:r>
      <m:oMath>
        <m:acc>
          <m:accPr>
            <m:chr m:val="‾"/>
          </m:accPr>
          <m:e>
            <m:r>
              <m:t>π</m:t>
            </m:r>
          </m:e>
        </m:acc>
        <m:r>
          <m:rPr>
            <m:sty m:val="p"/>
          </m:rPr>
          <m:t>=</m:t>
        </m:r>
        <m:r>
          <m:t>10</m:t>
        </m:r>
        <m:r>
          <m:rPr>
            <m:sty m:val="p"/>
          </m:rPr>
          <m:t>%</m:t>
        </m:r>
      </m:oMath>
      <w:r>
        <w:t xml:space="preserve">,</w:t>
      </w:r>
      <w:r>
        <w:t xml:space="preserve"> </w:t>
      </w:r>
      <m:oMath>
        <m:r>
          <m:t>k</m:t>
        </m:r>
        <m:r>
          <m:rPr>
            <m:sty m:val="p"/>
          </m:rPr>
          <m:t>=</m:t>
        </m:r>
        <m:r>
          <m:t>3</m:t>
        </m:r>
      </m:oMath>
      <w:r>
        <w:t xml:space="preserve">. Robustness:</w:t>
      </w:r>
      <w:r>
        <w:t xml:space="preserve"> </w:t>
      </w:r>
      <m:oMath>
        <m:acc>
          <m:accPr>
            <m:chr m:val="‾"/>
          </m:accPr>
          <m:e>
            <m:r>
              <m:t>π</m:t>
            </m:r>
          </m:e>
        </m:acc>
        <m:r>
          <m:rPr>
            <m:sty m:val="p"/>
          </m:rPr>
          <m:t>∈</m:t>
        </m:r>
        <m:r>
          <m:rPr>
            <m:sty m:val="p"/>
          </m:rPr>
          <m:t>{</m:t>
        </m:r>
        <m:r>
          <m:t>7</m:t>
        </m:r>
        <m:r>
          <m:rPr>
            <m:sty m:val="p"/>
          </m:rPr>
          <m:t>%</m:t>
        </m:r>
        <m:r>
          <m:rPr>
            <m:sty m:val="p"/>
          </m:rPr>
          <m:t>,</m:t>
        </m:r>
        <m:r>
          <m:t>15</m:t>
        </m:r>
        <m:r>
          <m:rPr>
            <m:sty m:val="p"/>
          </m:rPr>
          <m:t>%</m:t>
        </m:r>
        <m:r>
          <m:rPr>
            <m:sty m:val="p"/>
          </m:rPr>
          <m:t>}</m:t>
        </m:r>
      </m:oMath>
      <w:r>
        <w:t xml:space="preserve">;</w:t>
      </w:r>
      <w:r>
        <w:t xml:space="preserve"> </w:t>
      </w:r>
      <m:oMath>
        <m:r>
          <m:t>k</m:t>
        </m:r>
        <m:r>
          <m:rPr>
            <m:sty m:val="p"/>
          </m:rPr>
          <m:t>∈</m:t>
        </m:r>
        <m:r>
          <m:rPr>
            <m:sty m:val="p"/>
          </m:rPr>
          <m:t>{</m:t>
        </m:r>
        <m:r>
          <m:t>2</m:t>
        </m:r>
        <m:r>
          <m:rPr>
            <m:sty m:val="p"/>
          </m:rPr>
          <m:t>,</m:t>
        </m:r>
        <m:r>
          <m:t>5</m:t>
        </m:r>
        <m:r>
          <m:rPr>
            <m:sty m:val="p"/>
          </m:rPr>
          <m:t>}</m:t>
        </m:r>
      </m:oMath>
      <w:r>
        <w:t xml:space="preserve">.</w:t>
      </w:r>
    </w:p>
    <w:p>
      <w:pPr>
        <w:pStyle w:val="BodyText"/>
      </w:pPr>
      <w:r>
        <w:t xml:space="preserve">The CPI series is sourced from World Bank WDI (indicator</w:t>
      </w:r>
      <w:r>
        <w:t xml:space="preserve"> </w:t>
      </w:r>
      <w:r>
        <w:rPr>
          <w:rStyle w:val="VerbatimChar"/>
        </w:rPr>
        <w:t xml:space="preserve">FP.CPI.TOTL.ZG</w:t>
      </w:r>
      <w:r>
        <w:t xml:space="preserve">), cross-checked against IMF IFS for five countries (Türkiye, Brazil, Argentina, Ghana, Zambia). No material discrepancies were found for post-1990 observations; pre-1990 Zambia values diverge by up to 3 pp due to WDI retroactive revision (IMF IFS values used for 1985–1989 for Zambia only). Extreme outliers (Angola mean 370%, Congo DR mean 1,094%) are handled by Winsorising at the 99th percentile for level regressions, while the binary chronic indicator is unaffected.</w:t>
      </w:r>
    </w:p>
    <w:bookmarkEnd w:id="16"/>
    <w:bookmarkStart w:id="17" w:name="control-variables"/>
    <w:p>
      <w:pPr>
        <w:pStyle w:val="Heading2"/>
      </w:pPr>
      <w:r>
        <w:t xml:space="preserve">3.3 Control Variables</w:t>
      </w:r>
    </w:p>
    <w:p>
      <w:pPr>
        <w:pStyle w:val="FirstParagraph"/>
      </w:pPr>
      <w:r>
        <w:t xml:space="preserve">All controls are sourced from World Bank WDI. The fiscal balance indicator (</w:t>
      </w:r>
      <w:r>
        <w:rPr>
          <w:rStyle w:val="VerbatimChar"/>
        </w:rPr>
        <w:t xml:space="preserve">GC.BAL.CASH.GD.ZS</w:t>
      </w:r>
      <w:r>
        <w:t xml:space="preserve">) was unavailable from the WDI API at time of data assembly; it will be supplemented from the IMF WEO (</w:t>
      </w:r>
      <w:r>
        <w:rPr>
          <w:rStyle w:val="VerbatimChar"/>
        </w:rPr>
        <w:t xml:space="preserve">GGXCNL_NGDP</w:t>
      </w:r>
      <w:r>
        <w:t xml:space="preserve">). Controls include: GDP growth, trade openness (exports + imports / GDP), broad money (% GDP), and FDI net inflows (% GDP).</w:t>
      </w:r>
    </w:p>
    <w:bookmarkEnd w:id="17"/>
    <w:bookmarkStart w:id="23" w:name="sample"/>
    <w:p>
      <w:pPr>
        <w:pStyle w:val="Heading2"/>
      </w:pPr>
      <w:r>
        <w:t xml:space="preserve">3.4 Sample</w:t>
      </w:r>
    </w:p>
    <w:p>
      <w:pPr>
        <w:pStyle w:val="FirstParagraph"/>
      </w:pPr>
      <w:r>
        <w:t xml:space="preserve">The working sample comprises 106 developing and lower-middle to upper-middle income economies over 1985–2020. Exclusion criteria: (i) high-income countries (trilemma dynamics differ structurally); (ii) USA (the Nth country, not subject to trilemma per</w:t>
      </w:r>
      <w:r>
        <w:t xml:space="preserve"> </w:t>
      </w:r>
      <w:r>
        <w:t xml:space="preserve">Aizenman et al. (2013)</w:t>
      </w:r>
      <w:r>
        <w:t xml:space="preserve">); (iii) countries with fewer than 15 non-missing CPI observations. The resulting panel is unbalanced, with 3474 country-year observations on the primary CPI variable.</w:t>
      </w:r>
    </w:p>
    <w:tbl>
      <w:tblPr>
        <w:tblStyle w:val="Table"/>
        <w:tblW w:type="pct" w:w="5000"/>
        <w:tblLayout w:type="fixed"/>
        <w:tblLook w:firstRow="0" w:lastRow="0" w:firstColumn="0" w:lastColumn="0" w:noHBand="0" w:noVBand="0" w:val="0000"/>
      </w:tblPr>
      <w:tblGrid>
        <w:gridCol w:w="7920"/>
      </w:tblGrid>
      <w:tr>
        <w:tc>
          <w:tcPr/>
          <w:bookmarkStart w:id="18" w:name="tbl-desc"/>
          <w:p>
            <w:pPr>
              <w:jc w:val="center"/>
            </w:pPr>
            <w:pPr>
              <w:jc w:val="left"/>
              <w:spacing w:before="200"/>
              <w:pStyle w:val="ImageCaption"/>
            </w:pPr>
            <w:r>
              <w:t xml:space="preserve">Table 1: Descriptive Statistics</w:t>
            </w:r>
          </w:p>
          <w:p>
            <w:pPr>
              <w:pStyle w:val="Compact"/>
              <w:jc w:val="center"/>
            </w:pPr>
            <w:r>
              <w:t xml:space="preserve">Descriptive Statistics: N = 106 countries, 1985–2020 (estimation subsample varies by control availability)</w:t>
            </w:r>
          </w:p>
          <w:tbl>
            <w:tblPr>
              <w:tblStyle w:val="Table"/>
              <w:tblW w:type="auto" w:w="0"/>
              <w:tblLook w:firstRow="1" w:lastRow="0" w:firstColumn="0" w:lastColumn="0" w:noHBand="0" w:noVBand="0" w:val="0020"/>
              <w:tblCaption w:val="Descriptive Statistics: N = 106 countries, 1985–2020 (estimation subsample varies by control availability)"/>
            </w:tblPr>
            <w:tblGrid>
              <w:gridCol w:w="1320"/>
              <w:gridCol w:w="1320"/>
              <w:gridCol w:w="1320"/>
              <w:gridCol w:w="1320"/>
              <w:gridCol w:w="1320"/>
              <w:gridCol w:w="1320"/>
            </w:tblGrid>
            <w:tr>
              <w:trPr>
                <w:tblHeader w:val="on"/>
              </w:trPr>
              <w:tc>
                <w:tcPr/>
                <w:p>
                  <w:pPr>
                    <w:pStyle w:val="Compact"/>
                    <w:jc w:val="left"/>
                    <w:jc w:val="center"/>
                  </w:pPr>
                  <w:r>
                    <w:t xml:space="preserve">Variable</w:t>
                  </w:r>
                </w:p>
              </w:tc>
              <w:tc>
                <w:tcPr/>
                <w:p>
                  <w:pPr>
                    <w:pStyle w:val="Compact"/>
                    <w:jc w:val="right"/>
                    <w:jc w:val="center"/>
                  </w:pPr>
                  <w:r>
                    <w:t xml:space="preserve">Mean</w:t>
                  </w:r>
                </w:p>
              </w:tc>
              <w:tc>
                <w:tcPr/>
                <w:p>
                  <w:pPr>
                    <w:pStyle w:val="Compact"/>
                    <w:jc w:val="right"/>
                    <w:jc w:val="center"/>
                  </w:pPr>
                  <w:r>
                    <w:t xml:space="preserve">SD</w:t>
                  </w:r>
                </w:p>
              </w:tc>
              <w:tc>
                <w:tcPr/>
                <w:p>
                  <w:pPr>
                    <w:pStyle w:val="Compact"/>
                    <w:jc w:val="right"/>
                    <w:jc w:val="center"/>
                  </w:pPr>
                  <w:r>
                    <w:t xml:space="preserve">Min</w:t>
                  </w:r>
                </w:p>
              </w:tc>
              <w:tc>
                <w:tcPr/>
                <w:p>
                  <w:pPr>
                    <w:pStyle w:val="Compact"/>
                    <w:jc w:val="right"/>
                    <w:jc w:val="center"/>
                  </w:pPr>
                  <w:r>
                    <w:t xml:space="preserve">Max</w:t>
                  </w:r>
                </w:p>
              </w:tc>
              <w:tc>
                <w:tcPr/>
                <w:p>
                  <w:pPr>
                    <w:pStyle w:val="Compact"/>
                    <w:jc w:val="right"/>
                    <w:jc w:val="center"/>
                  </w:pPr>
                  <w:r>
                    <w:t xml:space="preserve">Obs</w:t>
                  </w:r>
                </w:p>
              </w:tc>
            </w:tr>
            <w:tr>
              <w:tc>
                <w:tcPr/>
                <w:p>
                  <w:pPr>
                    <w:pStyle w:val="Compact"/>
                    <w:jc w:val="left"/>
                    <w:jc w:val="center"/>
                  </w:pPr>
                  <w:r>
                    <w:t xml:space="preserve">CPI inflation (%)</w:t>
                  </w:r>
                </w:p>
              </w:tc>
              <w:tc>
                <w:tcPr/>
                <w:p>
                  <w:pPr>
                    <w:pStyle w:val="Compact"/>
                    <w:jc w:val="right"/>
                    <w:jc w:val="center"/>
                  </w:pPr>
                  <w:r>
                    <w:t xml:space="preserve">39.04</w:t>
                  </w:r>
                </w:p>
              </w:tc>
              <w:tc>
                <w:tcPr/>
                <w:p>
                  <w:pPr>
                    <w:pStyle w:val="Compact"/>
                    <w:jc w:val="right"/>
                    <w:jc w:val="center"/>
                  </w:pPr>
                  <w:r>
                    <w:t xml:space="preserve">507.74</w:t>
                  </w:r>
                </w:p>
              </w:tc>
              <w:tc>
                <w:tcPr/>
                <w:p>
                  <w:pPr>
                    <w:pStyle w:val="Compact"/>
                    <w:jc w:val="right"/>
                    <w:jc w:val="center"/>
                  </w:pPr>
                  <w:r>
                    <w:t xml:space="preserve">-17.64</w:t>
                  </w:r>
                </w:p>
              </w:tc>
              <w:tc>
                <w:tcPr/>
                <w:p>
                  <w:pPr>
                    <w:pStyle w:val="Compact"/>
                    <w:jc w:val="right"/>
                    <w:jc w:val="center"/>
                  </w:pPr>
                  <w:r>
                    <w:t xml:space="preserve">23773.13</w:t>
                  </w:r>
                </w:p>
              </w:tc>
              <w:tc>
                <w:tcPr/>
                <w:p>
                  <w:pPr>
                    <w:pStyle w:val="Compact"/>
                    <w:jc w:val="right"/>
                    <w:jc w:val="center"/>
                  </w:pPr>
                  <w:r>
                    <w:t xml:space="preserve">3474</w:t>
                  </w:r>
                </w:p>
              </w:tc>
            </w:tr>
            <w:tr>
              <w:tc>
                <w:tcPr/>
                <w:p>
                  <w:pPr>
                    <w:pStyle w:val="Compact"/>
                    <w:jc w:val="left"/>
                    <w:jc w:val="center"/>
                  </w:pPr>
                  <w:r>
                    <w:t xml:space="preserve">Chronic inflation (0/1)</w:t>
                  </w:r>
                </w:p>
              </w:tc>
              <w:tc>
                <w:tcPr/>
                <w:p>
                  <w:pPr>
                    <w:pStyle w:val="Compact"/>
                    <w:jc w:val="right"/>
                    <w:jc w:val="center"/>
                  </w:pPr>
                  <w:r>
                    <w:t xml:space="preserve">0.13</w:t>
                  </w:r>
                </w:p>
              </w:tc>
              <w:tc>
                <w:tcPr/>
                <w:p>
                  <w:pPr>
                    <w:pStyle w:val="Compact"/>
                    <w:jc w:val="right"/>
                    <w:jc w:val="center"/>
                  </w:pPr>
                  <w:r>
                    <w:t xml:space="preserve">0.34</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3816</w:t>
                  </w:r>
                </w:p>
              </w:tc>
            </w:tr>
            <w:tr>
              <w:tc>
                <w:tcPr/>
                <w:p>
                  <w:pPr>
                    <w:pStyle w:val="Compact"/>
                    <w:jc w:val="left"/>
                    <w:jc w:val="center"/>
                  </w:pPr>
                  <w:r>
                    <w:t xml:space="preserve">GDP growth (%)</w:t>
                  </w:r>
                </w:p>
              </w:tc>
              <w:tc>
                <w:tcPr/>
                <w:p>
                  <w:pPr>
                    <w:pStyle w:val="Compact"/>
                    <w:jc w:val="right"/>
                    <w:jc w:val="center"/>
                  </w:pPr>
                  <w:r>
                    <w:t xml:space="preserve">3.66</w:t>
                  </w:r>
                </w:p>
              </w:tc>
              <w:tc>
                <w:tcPr/>
                <w:p>
                  <w:pPr>
                    <w:pStyle w:val="Compact"/>
                    <w:jc w:val="right"/>
                    <w:jc w:val="center"/>
                  </w:pPr>
                  <w:r>
                    <w:t xml:space="preserve">6.87</w:t>
                  </w:r>
                </w:p>
              </w:tc>
              <w:tc>
                <w:tcPr/>
                <w:p>
                  <w:pPr>
                    <w:pStyle w:val="Compact"/>
                    <w:jc w:val="right"/>
                    <w:jc w:val="center"/>
                  </w:pPr>
                  <w:r>
                    <w:t xml:space="preserve">-51.03</w:t>
                  </w:r>
                </w:p>
              </w:tc>
              <w:tc>
                <w:tcPr/>
                <w:p>
                  <w:pPr>
                    <w:pStyle w:val="Compact"/>
                    <w:jc w:val="right"/>
                    <w:jc w:val="center"/>
                  </w:pPr>
                  <w:r>
                    <w:t xml:space="preserve">149.97</w:t>
                  </w:r>
                </w:p>
              </w:tc>
              <w:tc>
                <w:tcPr/>
                <w:p>
                  <w:pPr>
                    <w:pStyle w:val="Compact"/>
                    <w:jc w:val="right"/>
                    <w:jc w:val="center"/>
                  </w:pPr>
                  <w:r>
                    <w:t xml:space="preserve">3743</w:t>
                  </w:r>
                </w:p>
              </w:tc>
            </w:tr>
            <w:tr>
              <w:tc>
                <w:tcPr/>
                <w:p>
                  <w:pPr>
                    <w:pStyle w:val="Compact"/>
                    <w:jc w:val="left"/>
                    <w:jc w:val="center"/>
                  </w:pPr>
                  <w:r>
                    <w:t xml:space="preserve">Trade openness (% GDP)</w:t>
                  </w:r>
                </w:p>
              </w:tc>
              <w:tc>
                <w:tcPr/>
                <w:p>
                  <w:pPr>
                    <w:pStyle w:val="Compact"/>
                    <w:jc w:val="right"/>
                    <w:jc w:val="center"/>
                  </w:pPr>
                  <w:r>
                    <w:t xml:space="preserve">70.15</w:t>
                  </w:r>
                </w:p>
              </w:tc>
              <w:tc>
                <w:tcPr/>
                <w:p>
                  <w:pPr>
                    <w:pStyle w:val="Compact"/>
                    <w:jc w:val="right"/>
                    <w:jc w:val="center"/>
                  </w:pPr>
                  <w:r>
                    <w:t xml:space="preserve">34.32</w:t>
                  </w:r>
                </w:p>
              </w:tc>
              <w:tc>
                <w:tcPr/>
                <w:p>
                  <w:pPr>
                    <w:pStyle w:val="Compact"/>
                    <w:jc w:val="right"/>
                    <w:jc w:val="center"/>
                  </w:pPr>
                  <w:r>
                    <w:t xml:space="preserve">11.32</w:t>
                  </w:r>
                </w:p>
              </w:tc>
              <w:tc>
                <w:tcPr/>
                <w:p>
                  <w:pPr>
                    <w:pStyle w:val="Compact"/>
                    <w:jc w:val="right"/>
                    <w:jc w:val="center"/>
                  </w:pPr>
                  <w:r>
                    <w:t xml:space="preserve">347.72</w:t>
                  </w:r>
                </w:p>
              </w:tc>
              <w:tc>
                <w:tcPr/>
                <w:p>
                  <w:pPr>
                    <w:pStyle w:val="Compact"/>
                    <w:jc w:val="right"/>
                    <w:jc w:val="center"/>
                  </w:pPr>
                  <w:r>
                    <w:t xml:space="preserve">3030</w:t>
                  </w:r>
                </w:p>
              </w:tc>
            </w:tr>
            <w:tr>
              <w:tc>
                <w:tcPr/>
                <w:p>
                  <w:pPr>
                    <w:pStyle w:val="Compact"/>
                    <w:jc w:val="left"/>
                    <w:jc w:val="center"/>
                  </w:pPr>
                  <w:r>
                    <w:t xml:space="preserve">Broad money (% GDP)</w:t>
                  </w:r>
                </w:p>
              </w:tc>
              <w:tc>
                <w:tcPr/>
                <w:p>
                  <w:pPr>
                    <w:pStyle w:val="Compact"/>
                    <w:jc w:val="right"/>
                    <w:jc w:val="center"/>
                  </w:pPr>
                  <w:r>
                    <w:t xml:space="preserve">41.22</w:t>
                  </w:r>
                </w:p>
              </w:tc>
              <w:tc>
                <w:tcPr/>
                <w:p>
                  <w:pPr>
                    <w:pStyle w:val="Compact"/>
                    <w:jc w:val="right"/>
                    <w:jc w:val="center"/>
                  </w:pPr>
                  <w:r>
                    <w:t xml:space="preserve">28.45</w:t>
                  </w:r>
                </w:p>
              </w:tc>
              <w:tc>
                <w:tcPr/>
                <w:p>
                  <w:pPr>
                    <w:pStyle w:val="Compact"/>
                    <w:jc w:val="right"/>
                    <w:jc w:val="center"/>
                  </w:pPr>
                  <w:r>
                    <w:t xml:space="preserve">0.44</w:t>
                  </w:r>
                </w:p>
              </w:tc>
              <w:tc>
                <w:tcPr/>
                <w:p>
                  <w:pPr>
                    <w:pStyle w:val="Compact"/>
                    <w:jc w:val="right"/>
                    <w:jc w:val="center"/>
                  </w:pPr>
                  <w:r>
                    <w:t xml:space="preserve">207.53</w:t>
                  </w:r>
                </w:p>
              </w:tc>
              <w:tc>
                <w:tcPr/>
                <w:p>
                  <w:pPr>
                    <w:pStyle w:val="Compact"/>
                    <w:jc w:val="right"/>
                    <w:jc w:val="center"/>
                  </w:pPr>
                  <w:r>
                    <w:t xml:space="preserve">3582</w:t>
                  </w:r>
                </w:p>
              </w:tc>
            </w:tr>
            <w:tr>
              <w:tc>
                <w:tcPr/>
                <w:p>
                  <w:pPr>
                    <w:pStyle w:val="Compact"/>
                    <w:jc w:val="left"/>
                    <w:jc w:val="center"/>
                  </w:pPr>
                  <w:r>
                    <w:t xml:space="preserve">FDI inflows (% GDP)</w:t>
                  </w:r>
                </w:p>
              </w:tc>
              <w:tc>
                <w:tcPr/>
                <w:p>
                  <w:pPr>
                    <w:pStyle w:val="Compact"/>
                    <w:jc w:val="right"/>
                    <w:jc w:val="center"/>
                  </w:pPr>
                  <w:r>
                    <w:t xml:space="preserve">3.40</w:t>
                  </w:r>
                </w:p>
              </w:tc>
              <w:tc>
                <w:tcPr/>
                <w:p>
                  <w:pPr>
                    <w:pStyle w:val="Compact"/>
                    <w:jc w:val="right"/>
                    <w:jc w:val="center"/>
                  </w:pPr>
                  <w:r>
                    <w:t xml:space="preserve">7.12</w:t>
                  </w:r>
                </w:p>
              </w:tc>
              <w:tc>
                <w:tcPr/>
                <w:p>
                  <w:pPr>
                    <w:pStyle w:val="Compact"/>
                    <w:jc w:val="right"/>
                    <w:jc w:val="center"/>
                  </w:pPr>
                  <w:r>
                    <w:t xml:space="preserve">-82.89</w:t>
                  </w:r>
                </w:p>
              </w:tc>
              <w:tc>
                <w:tcPr/>
                <w:p>
                  <w:pPr>
                    <w:pStyle w:val="Compact"/>
                    <w:jc w:val="right"/>
                    <w:jc w:val="center"/>
                  </w:pPr>
                  <w:r>
                    <w:t xml:space="preserve">161.82</w:t>
                  </w:r>
                </w:p>
              </w:tc>
              <w:tc>
                <w:tcPr/>
                <w:p>
                  <w:pPr>
                    <w:pStyle w:val="Compact"/>
                    <w:jc w:val="right"/>
                    <w:jc w:val="center"/>
                  </w:pPr>
                  <w:r>
                    <w:t xml:space="preserve">3653</w:t>
                  </w:r>
                </w:p>
              </w:tc>
            </w:tr>
          </w:tbl>
          <w:bookmarkEnd w:id="18"/>
          <w:p/>
        </w:tc>
      </w:tr>
    </w:tbl>
    <w:p>
      <w:pPr>
        <w:pStyle w:val="BodyText"/>
      </w:pPr>
      <w:r>
        <w:rPr>
          <w:i/>
          <w:iCs/>
        </w:rPr>
        <w:t xml:space="preserve">Note:</w:t>
      </w:r>
      <w:r>
        <w:t xml:space="preserve"> </w:t>
      </w:r>
      <w:r>
        <w:t xml:space="preserve">CPI inflation Winsorised at 99th percentile for descriptive statistics. Trilemma indices (MII, ERS, KAOPEN) from Aizenman-Chinn-Ito (2010, 2013), updated 2020 release (641KB, 199 countries): MII mean = 0.466 (SD = 0.174), ERS mean = 0.582 (SD = 0.309), KAOPEN mean = 0.357 (SD = 0.303); final estimation sample N = 3,780 obs, 105 countries (T = 1985–2020). Country-name to ISO3C conversion via</w:t>
      </w:r>
      <w:r>
        <w:t xml:space="preserve"> </w:t>
      </w:r>
      <w:r>
        <w:t xml:space="preserve">Arel-Bundock et al. (2018)</w:t>
      </w:r>
      <w:r>
        <w:t xml:space="preserve"> </w:t>
      </w:r>
      <w:r>
        <w:t xml:space="preserve">package; 4 unmatched entries excluded (Euro Area, Netherlands Antilles, São Tomé encoding, Czechoslovakia).</w:t>
      </w:r>
    </w:p>
    <w:tbl>
      <w:tblPr>
        <w:tblStyle w:val="Table"/>
        <w:tblW w:type="pct" w:w="5000"/>
        <w:tblLayout w:type="fixed"/>
        <w:tblLook w:firstRow="0" w:lastRow="0" w:firstColumn="0" w:lastColumn="0" w:noHBand="0" w:noVBand="0" w:val="0000"/>
      </w:tblPr>
      <w:tblGrid>
        <w:gridCol w:w="7920"/>
      </w:tblGrid>
      <w:tr>
        <w:tc>
          <w:tcPr/>
          <w:bookmarkStart w:id="22" w:name="fig-incidence"/>
          <w:p>
            <w:pPr>
              <w:pStyle w:val="Compact"/>
              <w:jc w:val="center"/>
            </w:pPr>
            <w:r>
              <w:drawing>
                <wp:inline>
                  <wp:extent cx="5334000" cy="4267200"/>
                  <wp:effectExtent b="0" l="0" r="0" t="0"/>
                  <wp:docPr descr="" title="" id="20" name="Picture"/>
                  <a:graphic>
                    <a:graphicData uri="http://schemas.openxmlformats.org/drawingml/2006/picture">
                      <pic:pic>
                        <pic:nvPicPr>
                          <pic:cNvPr descr="chronic_inf_trilemma_v02_files/figure-docx/fig-incidence-1.png" id="21" name="Picture"/>
                          <pic:cNvPicPr>
                            <a:picLocks noChangeArrowheads="1" noChangeAspect="1"/>
                          </pic:cNvPicPr>
                        </pic:nvPicPr>
                        <pic:blipFill>
                          <a:blip r:embed="rId1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Share of Countries in Chronic Inflation by Year (CPI &gt; 10%, ≥3 consecutive years)</w:t>
            </w:r>
          </w:p>
          <w:bookmarkEnd w:id="22"/>
        </w:tc>
      </w:tr>
    </w:tbl>
    <w:bookmarkEnd w:id="23"/>
    <w:bookmarkEnd w:id="24"/>
    <w:bookmarkStart w:id="28" w:name="empirical-strategy"/>
    <w:p>
      <w:pPr>
        <w:pStyle w:val="Heading1"/>
      </w:pPr>
      <w:r>
        <w:t xml:space="preserve">4. Empirical Strategy</w:t>
      </w:r>
    </w:p>
    <w:bookmarkStart w:id="25" w:name="pre-tests"/>
    <w:p>
      <w:pPr>
        <w:pStyle w:val="Heading2"/>
      </w:pPr>
      <w:r>
        <w:t xml:space="preserve">4.1 Pre-Tests</w:t>
      </w:r>
    </w:p>
    <w:p>
      <w:pPr>
        <w:pStyle w:val="FirstParagraph"/>
      </w:pPr>
      <w:r>
        <w:t xml:space="preserve">Following the ANAYASA panel econometrics protocol, estimation proceeds through a mandatory diagnostic sequence. First, the Pesaran (2004) CD test is applied to identify cross-section dependence (CSD). If CSD is confirmed (</w:t>
      </w:r>
      <m:oMath>
        <m:r>
          <m:t>p</m:t>
        </m:r>
        <m:r>
          <m:rPr>
            <m:sty m:val="p"/>
          </m:rPr>
          <m:t>&lt;</m:t>
        </m:r>
        <m:r>
          <m:t>0.05</m:t>
        </m:r>
      </m:oMath>
      <w:r>
        <w:t xml:space="preserve">), second-generation unit-root tests (CIPS,</w:t>
      </w:r>
      <w:r>
        <w:t xml:space="preserve"> </w:t>
      </w:r>
      <w:r>
        <w:t xml:space="preserve">Pesaran (2007)</w:t>
      </w:r>
      <w:r>
        <w:t xml:space="preserve">) replace first-generation alternatives (IPS). Slope heterogeneity is tested using the Pesaran-Yamagata</w:t>
      </w:r>
      <w:r>
        <w:t xml:space="preserve"> </w:t>
      </w:r>
      <m:oMath>
        <m:acc>
          <m:accPr>
            <m:chr m:val="̃"/>
          </m:accPr>
          <m:e>
            <m:r>
              <m:rPr>
                <m:sty m:val="p"/>
              </m:rPr>
              <m:t>Δ</m:t>
            </m:r>
          </m:e>
        </m:acc>
      </m:oMath>
      <w:r>
        <w:t xml:space="preserve"> </w:t>
      </w:r>
      <w:r>
        <w:t xml:space="preserve">statistic. The results of these pre-tests determine whether mean-group (AMG/CCEMG) or pooled (FMOLS/FE) estimators are appropriate for the inflation-level regression.</w:t>
      </w:r>
    </w:p>
    <w:p>
      <w:pPr>
        <w:pStyle w:val="BodyText"/>
      </w:pPr>
      <w:r>
        <w:rPr>
          <w:b/>
          <w:bCs/>
        </w:rPr>
        <w:t xml:space="preserve">Pre-test results</w:t>
      </w:r>
      <w:r>
        <w:t xml:space="preserve"> </w:t>
      </w:r>
      <w:r>
        <w:t xml:space="preserve">confirm significant cross-section dependence: the Pesaran (2004) CD statistic equals 42.391 (</w:t>
      </w:r>
      <m:oMath>
        <m:r>
          <m:t>p</m:t>
        </m:r>
        <m:r>
          <m:rPr>
            <m:sty m:val="p"/>
          </m:rPr>
          <m:t>&lt;</m:t>
        </m:r>
        <m:r>
          <m:t>0.001</m:t>
        </m:r>
      </m:oMath>
      <w:r>
        <w:t xml:space="preserve">) for CPI inflation and 21.697 (</w:t>
      </w:r>
      <m:oMath>
        <m:r>
          <m:t>p</m:t>
        </m:r>
        <m:r>
          <m:rPr>
            <m:sty m:val="p"/>
          </m:rPr>
          <m:t>&lt;</m:t>
        </m:r>
        <m:r>
          <m:t>0.001</m:t>
        </m:r>
      </m:oMath>
      <w:r>
        <w:t xml:space="preserve">) for the chronic-inflation binary indicator. The slope-homogeneity F-test returns</w:t>
      </w:r>
      <w:r>
        <w:t xml:space="preserve"> </w:t>
      </w:r>
      <m:oMath>
        <m:r>
          <m:t>F</m:t>
        </m:r>
        <m:r>
          <m:rPr>
            <m:sty m:val="p"/>
          </m:rPr>
          <m:t>=</m:t>
        </m:r>
        <m:r>
          <m:t>1.689</m:t>
        </m:r>
      </m:oMath>
      <w:r>
        <w:t xml:space="preserve"> </w:t>
      </w:r>
      <w:r>
        <w:t xml:space="preserve">(</w:t>
      </w:r>
      <m:oMath>
        <m:r>
          <m:t>p</m:t>
        </m:r>
        <m:r>
          <m:rPr>
            <m:sty m:val="p"/>
          </m:rPr>
          <m:t>&lt;</m:t>
        </m:r>
        <m:r>
          <m:t>0.001</m:t>
        </m:r>
      </m:oMath>
      <w:r>
        <w:t xml:space="preserve">), rejecting the null of slope homogeneity. These results mandate second-generation estimators: CIPS for unit-root testing (Pesaran, 2007), and mean-group or random-effects specifications for the main models rather than pooled OLS. The Hausman test fails to reject random effects (</w:t>
      </w:r>
      <m:oMath>
        <m:sSup>
          <m:e>
            <m:r>
              <m:t>χ</m:t>
            </m:r>
          </m:e>
          <m:sup>
            <m:r>
              <m:t>2</m:t>
            </m:r>
          </m:sup>
        </m:sSup>
        <m:r>
          <m:rPr>
            <m:sty m:val="p"/>
          </m:rPr>
          <m:t>=</m:t>
        </m:r>
        <m:r>
          <m:t>3.955</m:t>
        </m:r>
      </m:oMath>
      <w:r>
        <w:t xml:space="preserve">,</w:t>
      </w:r>
      <w:r>
        <w:t xml:space="preserve"> </w:t>
      </w:r>
      <m:oMath>
        <m:r>
          <m:t>p</m:t>
        </m:r>
        <m:r>
          <m:rPr>
            <m:sty m:val="p"/>
          </m:rPr>
          <m:t>=</m:t>
        </m:r>
        <m:r>
          <m:t>0.266</m:t>
        </m:r>
      </m:oMath>
      <w:r>
        <w:t xml:space="preserve">), confirming the RE Probit specification. Serial correlation is confirmed by the Wooldridge test (</w:t>
      </w:r>
      <m:oMath>
        <m:r>
          <m:t>F</m:t>
        </m:r>
        <m:r>
          <m:rPr>
            <m:sty m:val="p"/>
          </m:rPr>
          <m:t>=</m:t>
        </m:r>
        <m:r>
          <m:t>11.035</m:t>
        </m:r>
      </m:oMath>
      <w:r>
        <w:t xml:space="preserve">,</w:t>
      </w:r>
      <w:r>
        <w:t xml:space="preserve"> </w:t>
      </w:r>
      <m:oMath>
        <m:r>
          <m:t>p</m:t>
        </m:r>
        <m:r>
          <m:rPr>
            <m:sty m:val="p"/>
          </m:rPr>
          <m:t>=</m:t>
        </m:r>
        <m:r>
          <m:t>0.026</m:t>
        </m:r>
      </m:oMath>
      <w:r>
        <w:t xml:space="preserve">), motivating the</w:t>
      </w:r>
      <w:r>
        <w:t xml:space="preserve"> </w:t>
      </w:r>
      <w:r>
        <w:t xml:space="preserve">Driscoll &amp; Kraay (1998)</w:t>
      </w:r>
      <w:r>
        <w:t xml:space="preserve"> </w:t>
      </w:r>
      <w:r>
        <w:t xml:space="preserve">correction for the FE level regression.</w:t>
      </w:r>
    </w:p>
    <w:bookmarkEnd w:id="25"/>
    <w:bookmarkStart w:id="26" w:name="main-models"/>
    <w:p>
      <w:pPr>
        <w:pStyle w:val="Heading2"/>
      </w:pPr>
      <w:r>
        <w:t xml:space="preserve">4.2 Main Models</w:t>
      </w:r>
    </w:p>
    <w:p>
      <w:pPr>
        <w:pStyle w:val="FirstParagraph"/>
      </w:pPr>
      <w:r>
        <w:rPr>
          <w:b/>
          <w:bCs/>
        </w:rPr>
        <w:t xml:space="preserve">Model A — Random Effects Probit (binary outcome).</w:t>
      </w:r>
      <w:r>
        <w:t xml:space="preserve"> </w:t>
      </w:r>
      <w:r>
        <w:t xml:space="preserve">The primary specification models the probability of chronic inflation as:</w:t>
      </w:r>
    </w:p>
    <w:p>
      <w:pPr>
        <w:pStyle w:val="BodyText"/>
      </w:pPr>
      <m:oMathPara>
        <m:oMathParaPr>
          <m:jc m:val="center"/>
        </m:oMathParaPr>
        <m:oMath>
          <m:r>
            <m:t>P</m:t>
          </m:r>
          <m:r>
            <m:rPr>
              <m:sty m:val="p"/>
            </m:rPr>
            <m:t>(</m:t>
          </m:r>
          <m:sSub>
            <m:e>
              <m:r>
                <m:rPr>
                  <m:nor/>
                  <m:sty m:val="p"/>
                </m:rPr>
                <m:t>chronic</m:t>
              </m:r>
            </m:e>
            <m:sub>
              <m:r>
                <m:t>i</m:t>
              </m:r>
              <m:r>
                <m:t>t</m:t>
              </m:r>
            </m:sub>
          </m:sSub>
          <m:r>
            <m:rPr>
              <m:sty m:val="p"/>
            </m:rPr>
            <m:t>=</m:t>
          </m:r>
          <m:r>
            <m:t>1</m:t>
          </m:r>
          <m:r>
            <m:rPr>
              <m:sty m:val="p"/>
            </m:rPr>
            <m:t>)</m:t>
          </m:r>
          <m:r>
            <m:rPr>
              <m:sty m:val="p"/>
            </m:rPr>
            <m:t>=</m:t>
          </m:r>
          <m:r>
            <m:rPr>
              <m:sty m:val="p"/>
            </m:rPr>
            <m:t>Φ</m:t>
          </m:r>
          <m:d>
            <m:dPr>
              <m:begChr m:val="("/>
              <m:sepChr m:val=""/>
              <m:endChr m:val=")"/>
              <m:grow/>
            </m:dPr>
            <m:e>
              <m:r>
                <m:t>α</m:t>
              </m:r>
              <m:r>
                <m:rPr>
                  <m:sty m:val="p"/>
                </m:rPr>
                <m:t>+</m:t>
              </m:r>
              <m:sSub>
                <m:e>
                  <m:r>
                    <m:t>β</m:t>
                  </m:r>
                </m:e>
                <m:sub>
                  <m:r>
                    <m:t>1</m:t>
                  </m:r>
                </m:sub>
              </m:sSub>
              <m:r>
                <m:t>M</m:t>
              </m:r>
              <m:r>
                <m:t>I</m:t>
              </m:r>
              <m:sSub>
                <m:e>
                  <m:r>
                    <m:t>I</m:t>
                  </m:r>
                </m:e>
                <m:sub>
                  <m:r>
                    <m:t>i</m:t>
                  </m:r>
                  <m:r>
                    <m:t>t</m:t>
                  </m:r>
                </m:sub>
              </m:sSub>
              <m:r>
                <m:rPr>
                  <m:sty m:val="p"/>
                </m:rPr>
                <m:t>+</m:t>
              </m:r>
              <m:sSub>
                <m:e>
                  <m:r>
                    <m:t>β</m:t>
                  </m:r>
                </m:e>
                <m:sub>
                  <m:r>
                    <m:t>2</m:t>
                  </m:r>
                </m:sub>
              </m:sSub>
              <m:r>
                <m:t>E</m:t>
              </m:r>
              <m:r>
                <m:t>R</m:t>
              </m:r>
              <m:sSub>
                <m:e>
                  <m:r>
                    <m:t>S</m:t>
                  </m:r>
                </m:e>
                <m:sub>
                  <m:r>
                    <m:t>i</m:t>
                  </m:r>
                  <m:r>
                    <m:t>t</m:t>
                  </m:r>
                </m:sub>
              </m:sSub>
              <m:r>
                <m:rPr>
                  <m:sty m:val="p"/>
                </m:rPr>
                <m:t>+</m:t>
              </m:r>
              <m:sSub>
                <m:e>
                  <m:r>
                    <m:t>β</m:t>
                  </m:r>
                </m:e>
                <m:sub>
                  <m:r>
                    <m:t>3</m:t>
                  </m:r>
                </m:sub>
              </m:sSub>
              <m:r>
                <m:t>K</m:t>
              </m:r>
              <m:r>
                <m:t>A</m:t>
              </m:r>
              <m:r>
                <m:t>O</m:t>
              </m:r>
              <m:r>
                <m:t>P</m:t>
              </m:r>
              <m:r>
                <m:t>E</m:t>
              </m:r>
              <m:sSub>
                <m:e>
                  <m:r>
                    <m:t>N</m:t>
                  </m:r>
                </m:e>
                <m:sub>
                  <m:r>
                    <m:t>i</m:t>
                  </m:r>
                  <m:r>
                    <m:t>t</m:t>
                  </m:r>
                </m:sub>
              </m:sSub>
              <m:r>
                <m:rPr>
                  <m:sty m:val="p"/>
                </m:rPr>
                <m:t>+</m:t>
              </m:r>
              <m:sSub>
                <m:e>
                  <m:r>
                    <m:t>β</m:t>
                  </m:r>
                </m:e>
                <m:sub>
                  <m:r>
                    <m:t>4</m:t>
                  </m:r>
                </m:sub>
              </m:sSub>
              <m:r>
                <m:rPr>
                  <m:sty m:val="p"/>
                </m:rPr>
                <m:t>(</m:t>
              </m:r>
              <m:r>
                <m:t>M</m:t>
              </m:r>
              <m:r>
                <m:t>I</m:t>
              </m:r>
              <m:r>
                <m:t>I</m:t>
              </m:r>
              <m:r>
                <m:rPr>
                  <m:sty m:val="p"/>
                </m:rPr>
                <m:t>×</m:t>
              </m:r>
              <m:r>
                <m:t>K</m:t>
              </m:r>
              <m:r>
                <m:t>A</m:t>
              </m:r>
              <m:r>
                <m:t>O</m:t>
              </m:r>
              <m:r>
                <m:t>P</m:t>
              </m:r>
              <m:r>
                <m:t>E</m:t>
              </m:r>
              <m:r>
                <m:t>N</m:t>
              </m:r>
              <m:sSub>
                <m:e>
                  <m:r>
                    <m:rPr>
                      <m:sty m:val="p"/>
                    </m:rPr>
                    <m:t>)</m:t>
                  </m:r>
                </m:e>
                <m:sub>
                  <m:r>
                    <m:t>i</m:t>
                  </m:r>
                  <m:r>
                    <m:t>t</m:t>
                  </m:r>
                </m:sub>
              </m:sSub>
              <m:r>
                <m:rPr>
                  <m:sty m:val="p"/>
                </m:rPr>
                <m:t>+</m:t>
              </m:r>
              <m:sSubSup>
                <m:e>
                  <m:r>
                    <m:rPr>
                      <m:sty m:val="b"/>
                    </m:rPr>
                    <m:t>X</m:t>
                  </m:r>
                </m:e>
                <m:sub>
                  <m:r>
                    <m:t>i</m:t>
                  </m:r>
                  <m:r>
                    <m:t>t</m:t>
                  </m:r>
                </m:sub>
                <m:sup>
                  <m:r>
                    <m:rPr>
                      <m:sty m:val="p"/>
                    </m:rPr>
                    <m:t>′</m:t>
                  </m:r>
                </m:sup>
              </m:sSubSup>
              <m:r>
                <m:rPr>
                  <m:sty m:val="b"/>
                </m:rPr>
                <m:t>γ</m:t>
              </m:r>
              <m:r>
                <m:rPr>
                  <m:sty m:val="p"/>
                </m:rPr>
                <m:t>+</m:t>
              </m:r>
              <m:sSub>
                <m:e>
                  <m:r>
                    <m:t>μ</m:t>
                  </m:r>
                </m:e>
                <m:sub>
                  <m:r>
                    <m:t>i</m:t>
                  </m:r>
                </m:sub>
              </m:sSub>
              <m:r>
                <m:rPr>
                  <m:sty m:val="p"/>
                </m:rPr>
                <m:t>+</m:t>
              </m:r>
              <m:sSub>
                <m:e>
                  <m:r>
                    <m:t>ε</m:t>
                  </m:r>
                </m:e>
                <m:sub>
                  <m:r>
                    <m:t>i</m:t>
                  </m:r>
                  <m:r>
                    <m:t>t</m:t>
                  </m:r>
                </m:sub>
              </m:sSub>
            </m:e>
          </m:d>
        </m:oMath>
      </m:oMathPara>
    </w:p>
    <w:p>
      <w:pPr>
        <w:pStyle w:val="FirstParagraph"/>
      </w:pPr>
      <w:r>
        <w:t xml:space="preserve">where</w:t>
      </w:r>
      <w:r>
        <w:t xml:space="preserve"> </w:t>
      </w:r>
      <m:oMath>
        <m:r>
          <m:rPr>
            <m:sty m:val="p"/>
          </m:rPr>
          <m:t>Φ</m:t>
        </m:r>
        <m:r>
          <m:rPr>
            <m:sty m:val="p"/>
          </m:rPr>
          <m:t>(</m:t>
        </m:r>
        <m:r>
          <m:rPr>
            <m:sty m:val="p"/>
          </m:rPr>
          <m:t>⋅</m:t>
        </m:r>
        <m:r>
          <m:rPr>
            <m:sty m:val="p"/>
          </m:rPr>
          <m:t>)</m:t>
        </m:r>
      </m:oMath>
      <w:r>
        <w:t xml:space="preserve"> </w:t>
      </w:r>
      <w:r>
        <w:t xml:space="preserve">is the standard normal CDF,</w:t>
      </w:r>
      <w:r>
        <w:t xml:space="preserve"> </w:t>
      </w:r>
      <m:oMath>
        <m:sSub>
          <m:e>
            <m:r>
              <m:t>μ</m:t>
            </m:r>
          </m:e>
          <m:sub>
            <m:r>
              <m:t>i</m:t>
            </m:r>
          </m:sub>
        </m:sSub>
        <m:r>
          <m:rPr>
            <m:sty m:val="p"/>
          </m:rPr>
          <m:t>∼</m:t>
        </m:r>
        <m:r>
          <m:t>N</m:t>
        </m:r>
        <m:r>
          <m:rPr>
            <m:sty m:val="p"/>
          </m:rPr>
          <m:t>(</m:t>
        </m:r>
        <m:r>
          <m:t>0</m:t>
        </m:r>
        <m:r>
          <m:rPr>
            <m:sty m:val="p"/>
          </m:rPr>
          <m:t>,</m:t>
        </m:r>
        <m:sSubSup>
          <m:e>
            <m:r>
              <m:t>σ</m:t>
            </m:r>
          </m:e>
          <m:sub>
            <m:r>
              <m:t>μ</m:t>
            </m:r>
          </m:sub>
          <m:sup>
            <m:r>
              <m:t>2</m:t>
            </m:r>
          </m:sup>
        </m:sSubSup>
        <m:r>
          <m:rPr>
            <m:sty m:val="p"/>
          </m:rPr>
          <m:t>)</m:t>
        </m:r>
      </m:oMath>
      <w:r>
        <w:t xml:space="preserve"> </w:t>
      </w:r>
      <w:r>
        <w:t xml:space="preserve">captures unobserved country heterogeneity, and</w:t>
      </w:r>
      <w:r>
        <w:t xml:space="preserve"> </w:t>
      </w:r>
      <m:oMath>
        <m:sSub>
          <m:e>
            <m:r>
              <m:rPr>
                <m:sty m:val="b"/>
              </m:rPr>
              <m:t>X</m:t>
            </m:r>
          </m:e>
          <m:sub>
            <m:r>
              <m:t>i</m:t>
            </m:r>
            <m:r>
              <m:t>t</m:t>
            </m:r>
          </m:sub>
        </m:sSub>
      </m:oMath>
      <w:r>
        <w:t xml:space="preserve"> </w:t>
      </w:r>
      <w:r>
        <w:t xml:space="preserve">includes GDP growth, trade openness, broad money, and FDI. Year fixed effects are included in all specifications. Economic interpretation is based on average partial effects (APEs) computed at the sample mean.</w:t>
      </w:r>
    </w:p>
    <w:p>
      <w:pPr>
        <w:pStyle w:val="BodyText"/>
      </w:pPr>
      <w:r>
        <w:rPr>
          <w:b/>
          <w:bCs/>
        </w:rPr>
        <w:t xml:space="preserve">Model B — System-GMM (Blundell-Bond).</w:t>
      </w:r>
      <w:r>
        <w:t xml:space="preserve"> </w:t>
      </w:r>
      <w:r>
        <w:t xml:space="preserve">To address the dynamic persistence of inflation and the endogeneity of trilemma choices:</w:t>
      </w:r>
    </w:p>
    <w:p>
      <w:pPr>
        <w:pStyle w:val="BodyText"/>
      </w:pPr>
      <m:oMathPara>
        <m:oMathParaPr>
          <m:jc m:val="center"/>
        </m:oMathParaPr>
        <m:oMath>
          <m:sSub>
            <m:e>
              <m:r>
                <m:t>π</m:t>
              </m:r>
            </m:e>
            <m:sub>
              <m:r>
                <m:t>i</m:t>
              </m:r>
              <m:r>
                <m:t>t</m:t>
              </m:r>
            </m:sub>
          </m:sSub>
          <m:r>
            <m:rPr>
              <m:sty m:val="p"/>
            </m:rPr>
            <m:t>=</m:t>
          </m:r>
          <m:r>
            <m:t>ρ</m:t>
          </m:r>
          <m:sSub>
            <m:e>
              <m:r>
                <m:t>π</m:t>
              </m:r>
            </m:e>
            <m:sub>
              <m:r>
                <m:t>i</m:t>
              </m:r>
              <m:r>
                <m:t>t</m:t>
              </m:r>
              <m:r>
                <m:rPr>
                  <m:sty m:val="p"/>
                </m:rPr>
                <m:t>−</m:t>
              </m:r>
              <m:r>
                <m:t>1</m:t>
              </m:r>
            </m:sub>
          </m:sSub>
          <m:r>
            <m:rPr>
              <m:sty m:val="p"/>
            </m:rPr>
            <m:t>+</m:t>
          </m:r>
          <m:sSub>
            <m:e>
              <m:r>
                <m:t>β</m:t>
              </m:r>
            </m:e>
            <m:sub>
              <m:r>
                <m:t>1</m:t>
              </m:r>
            </m:sub>
          </m:sSub>
          <m:r>
            <m:t>M</m:t>
          </m:r>
          <m:r>
            <m:t>I</m:t>
          </m:r>
          <m:sSub>
            <m:e>
              <m:r>
                <m:t>I</m:t>
              </m:r>
            </m:e>
            <m:sub>
              <m:r>
                <m:t>i</m:t>
              </m:r>
              <m:r>
                <m:t>t</m:t>
              </m:r>
            </m:sub>
          </m:sSub>
          <m:r>
            <m:rPr>
              <m:sty m:val="p"/>
            </m:rPr>
            <m:t>+</m:t>
          </m:r>
          <m:sSub>
            <m:e>
              <m:r>
                <m:t>β</m:t>
              </m:r>
            </m:e>
            <m:sub>
              <m:r>
                <m:t>2</m:t>
              </m:r>
            </m:sub>
          </m:sSub>
          <m:r>
            <m:t>E</m:t>
          </m:r>
          <m:r>
            <m:t>R</m:t>
          </m:r>
          <m:sSub>
            <m:e>
              <m:r>
                <m:t>S</m:t>
              </m:r>
            </m:e>
            <m:sub>
              <m:r>
                <m:t>i</m:t>
              </m:r>
              <m:r>
                <m:t>t</m:t>
              </m:r>
            </m:sub>
          </m:sSub>
          <m:r>
            <m:rPr>
              <m:sty m:val="p"/>
            </m:rPr>
            <m:t>+</m:t>
          </m:r>
          <m:sSub>
            <m:e>
              <m:r>
                <m:t>β</m:t>
              </m:r>
            </m:e>
            <m:sub>
              <m:r>
                <m:t>3</m:t>
              </m:r>
            </m:sub>
          </m:sSub>
          <m:r>
            <m:t>K</m:t>
          </m:r>
          <m:r>
            <m:t>A</m:t>
          </m:r>
          <m:r>
            <m:t>O</m:t>
          </m:r>
          <m:r>
            <m:t>P</m:t>
          </m:r>
          <m:r>
            <m:t>E</m:t>
          </m:r>
          <m:sSub>
            <m:e>
              <m:r>
                <m:t>N</m:t>
              </m:r>
            </m:e>
            <m:sub>
              <m:r>
                <m:t>i</m:t>
              </m:r>
              <m:r>
                <m:t>t</m:t>
              </m:r>
            </m:sub>
          </m:sSub>
          <m:r>
            <m:rPr>
              <m:sty m:val="p"/>
            </m:rPr>
            <m:t>+</m:t>
          </m:r>
          <m:sSubSup>
            <m:e>
              <m:r>
                <m:rPr>
                  <m:sty m:val="b"/>
                </m:rPr>
                <m:t>X</m:t>
              </m:r>
            </m:e>
            <m:sub>
              <m:r>
                <m:t>i</m:t>
              </m:r>
              <m:r>
                <m:t>t</m:t>
              </m:r>
            </m:sub>
            <m:sup>
              <m:r>
                <m:rPr>
                  <m:sty m:val="p"/>
                </m:rPr>
                <m:t>′</m:t>
              </m:r>
            </m:sup>
          </m:sSubSup>
          <m:r>
            <m:rPr>
              <m:sty m:val="b"/>
            </m:rPr>
            <m:t>γ</m:t>
          </m:r>
          <m:r>
            <m:rPr>
              <m:sty m:val="p"/>
            </m:rPr>
            <m:t>+</m:t>
          </m:r>
          <m:sSub>
            <m:e>
              <m:r>
                <m:t>μ</m:t>
              </m:r>
            </m:e>
            <m:sub>
              <m:r>
                <m:t>i</m:t>
              </m:r>
            </m:sub>
          </m:sSub>
          <m:r>
            <m:rPr>
              <m:sty m:val="p"/>
            </m:rPr>
            <m:t>+</m:t>
          </m:r>
          <m:sSub>
            <m:e>
              <m:r>
                <m:t>ε</m:t>
              </m:r>
            </m:e>
            <m:sub>
              <m:r>
                <m:t>i</m:t>
              </m:r>
              <m:r>
                <m:t>t</m:t>
              </m:r>
            </m:sub>
          </m:sSub>
        </m:oMath>
      </m:oMathPara>
    </w:p>
    <w:p>
      <w:pPr>
        <w:pStyle w:val="FirstParagraph"/>
      </w:pPr>
      <w:r>
        <w:t xml:space="preserve">Instruments: lags 2–4 of endogenous variables. Validity assessed via Hansen J-test and Arellano-Bond AR(2) test. Standard errors use the</w:t>
      </w:r>
      <w:r>
        <w:t xml:space="preserve"> </w:t>
      </w:r>
      <w:r>
        <w:t xml:space="preserve">Windmeijer (2005)</w:t>
      </w:r>
      <w:r>
        <w:t xml:space="preserve"> </w:t>
      </w:r>
      <w:r>
        <w:t xml:space="preserve">finite-sample correction.</w:t>
      </w:r>
    </w:p>
    <w:p>
      <w:pPr>
        <w:pStyle w:val="BodyText"/>
      </w:pPr>
      <w:r>
        <w:rPr>
          <w:b/>
          <w:bCs/>
        </w:rPr>
        <w:t xml:space="preserve">Model C — FE with Driscoll-Kraay SE.</w:t>
      </w:r>
      <w:r>
        <w:t xml:space="preserve"> </w:t>
      </w:r>
      <w:r>
        <w:t xml:space="preserve">For robustness, a two-way fixed-effects specification with</w:t>
      </w:r>
      <w:r>
        <w:t xml:space="preserve"> </w:t>
      </w:r>
      <w:r>
        <w:t xml:space="preserve">Driscoll &amp; Kraay (1998)</w:t>
      </w:r>
      <w:r>
        <w:t xml:space="preserve"> </w:t>
      </w:r>
      <w:r>
        <w:t xml:space="preserve">standard errors (robust to cross-sectional dependence and serial correlation, maxlag = 4) is estimated on log CPI as the dependent variable.</w:t>
      </w:r>
    </w:p>
    <w:bookmarkEnd w:id="26"/>
    <w:bookmarkStart w:id="27" w:name="identification-strategy"/>
    <w:p>
      <w:pPr>
        <w:pStyle w:val="Heading2"/>
      </w:pPr>
      <w:r>
        <w:t xml:space="preserve">4.3 Identification Strategy</w:t>
      </w:r>
    </w:p>
    <w:p>
      <w:pPr>
        <w:pStyle w:val="FirstParagraph"/>
      </w:pPr>
      <w:r>
        <w:t xml:space="preserve">Trilemma choices are potentially endogenous: countries experiencing chronic inflation may adopt exchange-rate pegs to import credibility. Following</w:t>
      </w:r>
      <w:r>
        <w:t xml:space="preserve"> </w:t>
      </w:r>
      <w:r>
        <w:t xml:space="preserve">Shambaugh (2004)</w:t>
      </w:r>
      <w:r>
        <w:t xml:space="preserve">, the Shambaugh base-country assignment provides exogenous variation in ERS: a country’s exchange rate stability against its base country is determined largely by historical and political linkages rather than by current inflation. The updated 2019 classification (Shambaugh Exchange Rate Regime Classification, April 23 2019) was downloaded from the GWU IIEP data repository and merged with the panel (N = 2,341 observations, 92 countries; peg coverage = 90.5%). The first-stage partial F-statistic (cluster-robust, Kleibergen-Paap) =</w:t>
      </w:r>
      <w:r>
        <w:t xml:space="preserve"> </w:t>
      </w:r>
      <w:r>
        <w:rPr>
          <w:b/>
          <w:bCs/>
        </w:rPr>
        <w:t xml:space="preserve">174.43</w:t>
      </w:r>
      <w:r>
        <w:t xml:space="preserve">, far exceeding the Stock-Yogo 5% maximal-size threshold of 16.38, confirming instrument strength. The instrument for MII exploits variation in the interaction between regional peer average MII and country-specific trade exposure, following a Bartik logic.</w:t>
      </w:r>
    </w:p>
    <w:bookmarkEnd w:id="27"/>
    <w:bookmarkEnd w:id="28"/>
    <w:bookmarkStart w:id="34" w:name="results"/>
    <w:p>
      <w:pPr>
        <w:pStyle w:val="Heading1"/>
      </w:pPr>
      <w:r>
        <w:t xml:space="preserve">5. Results</w:t>
      </w:r>
    </w:p>
    <w:bookmarkStart w:id="32" w:name="main-findings"/>
    <w:p>
      <w:pPr>
        <w:pStyle w:val="Heading2"/>
      </w:pPr>
      <w:r>
        <w:t xml:space="preserve">5.1 Main Findings</w:t>
      </w:r>
    </w:p>
    <w:p>
      <w:pPr>
        <w:pStyle w:val="FirstParagraph"/>
      </w:pPr>
      <w:r>
        <w:t xml:space="preserve">The trilemma dimensions jointly explain a substantial share of chronic inflation variation across countries. Table 3 reports RE Probit coefficients and average partial effects (APEs). Table 4 shows the two-way FE regressions on log CPI with clustered and Driscoll-Kraay standard errors. Table 5 reports IV estimates using the Shambaugh (2004/2019) base-country peg as instrument.</w:t>
      </w:r>
    </w:p>
    <w:tbl>
      <w:tblPr>
        <w:tblStyle w:val="Table"/>
        <w:tblW w:type="pct" w:w="5000"/>
        <w:tblLayout w:type="fixed"/>
        <w:tblLook w:firstRow="0" w:lastRow="0" w:firstColumn="0" w:lastColumn="0" w:noHBand="0" w:noVBand="0" w:val="0000"/>
      </w:tblPr>
      <w:tblGrid>
        <w:gridCol w:w="7920"/>
      </w:tblGrid>
      <w:tr>
        <w:tc>
          <w:tcPr/>
          <w:bookmarkStart w:id="29" w:name="tbl-probit"/>
          <w:p>
            <w:pPr>
              <w:jc w:val="center"/>
            </w:pPr>
            <w:pPr>
              <w:jc w:val="left"/>
              <w:spacing w:before="200"/>
              <w:pStyle w:val="ImageCaption"/>
            </w:pPr>
            <w:r>
              <w:t xml:space="preserve">Table 2: RE Probit: Probability of Chronic Inflation (Dependent variable = 1 if CPI &gt; 10% for ≥3 consecutive years)</w:t>
            </w:r>
          </w:p>
          <w:p>
            <w:pPr>
              <w:pStyle w:val="Compact"/>
              <w:jc w:val="center"/>
            </w:pPr>
            <w:r>
              <w:t xml:space="preserve">RE Probit coefficients with z-statistics in parentheses (clustered by country). APEs = average partial effects in percentage points [pp], evaluated at sample means. MII, ERS, KAOPEN from Aizenman-Chinn-Ito (2010, 2013) dataset. *** p&lt;0.01, ** p&lt;0.05, * p&lt;0.10.</w:t>
            </w:r>
          </w:p>
          <w:tbl>
            <w:tblPr>
              <w:tblStyle w:val="Table"/>
              <w:tblW w:type="pct" w:w="5000"/>
              <w:tblLayout w:type="fixed"/>
              <w:tblLook w:firstRow="1" w:lastRow="0" w:firstColumn="0" w:lastColumn="0" w:noHBand="0" w:noVBand="0" w:val="0020"/>
              <w:tblCaption w:val="RE Probit coefficients with z-statistics in parentheses (clustered by country). APEs = average partial effects in percentage points [pp], evaluated at sample means. MII, ERS, KAOPEN from Aizenman-Chinn-Ito (2010, 2013) dataset. *** p&lt;0.01, ** p&lt;0.05, * p&lt;0.10."/>
            </w:tblPr>
            <w:tblGrid>
              <w:gridCol w:w="2897"/>
              <w:gridCol w:w="1352"/>
              <w:gridCol w:w="1835"/>
              <w:gridCol w:w="1835"/>
            </w:tblGrid>
            <w:tr>
              <w:trPr>
                <w:tblHeader w:val="on"/>
              </w:trPr>
              <w:tc>
                <w:tcPr/>
                <w:p>
                  <w:pPr>
                    <w:pStyle w:val="Compact"/>
                    <w:jc w:val="left"/>
                    <w:jc w:val="center"/>
                  </w:pPr>
                  <w:r>
                    <w:t xml:space="preserve">Variable</w:t>
                  </w:r>
                </w:p>
              </w:tc>
              <w:tc>
                <w:tcPr/>
                <w:p>
                  <w:pPr>
                    <w:pStyle w:val="Compact"/>
                    <w:jc w:val="center"/>
                    <w:jc w:val="center"/>
                  </w:pPr>
                  <w:r>
                    <w:t xml:space="preserve">(1) Baseline</w:t>
                  </w:r>
                </w:p>
              </w:tc>
              <w:tc>
                <w:tcPr/>
                <w:p>
                  <w:pPr>
                    <w:pStyle w:val="Compact"/>
                    <w:jc w:val="center"/>
                    <w:jc w:val="center"/>
                  </w:pPr>
                  <w:r>
                    <w:t xml:space="preserve">(2) Full controls</w:t>
                  </w:r>
                </w:p>
              </w:tc>
              <w:tc>
                <w:tcPr/>
                <w:p>
                  <w:pPr>
                    <w:pStyle w:val="Compact"/>
                    <w:jc w:val="center"/>
                    <w:jc w:val="center"/>
                  </w:pPr>
                  <w:r>
                    <w:t xml:space="preserve">(3) + Interaction</w:t>
                  </w:r>
                </w:p>
              </w:tc>
            </w:tr>
            <w:tr>
              <w:tc>
                <w:tcPr/>
                <w:p>
                  <w:pPr>
                    <w:pStyle w:val="Compact"/>
                    <w:jc w:val="left"/>
                    <w:jc w:val="center"/>
                  </w:pPr>
                  <w:r>
                    <w:t xml:space="preserve">MII (monetary independence)</w:t>
                  </w:r>
                </w:p>
              </w:tc>
              <w:tc>
                <w:tcPr/>
                <w:p>
                  <w:pPr>
                    <w:pStyle w:val="Compact"/>
                    <w:jc w:val="center"/>
                    <w:jc w:val="center"/>
                  </w:pPr>
                  <w:r>
                    <w:t xml:space="preserve">0.835***</w:t>
                  </w:r>
                </w:p>
              </w:tc>
              <w:tc>
                <w:tcPr/>
                <w:p>
                  <w:pPr>
                    <w:pStyle w:val="Compact"/>
                    <w:jc w:val="center"/>
                    <w:jc w:val="center"/>
                  </w:pPr>
                  <w:r>
                    <w:t xml:space="preserve">1.091***</w:t>
                  </w:r>
                </w:p>
              </w:tc>
              <w:tc>
                <w:tcPr/>
                <w:p>
                  <w:pPr>
                    <w:pStyle w:val="Compact"/>
                    <w:jc w:val="center"/>
                    <w:jc w:val="center"/>
                  </w:pPr>
                  <w:r>
                    <w:t xml:space="preserve">1.053**</w:t>
                  </w:r>
                </w:p>
              </w:tc>
            </w:tr>
            <w:tr>
              <w:tc>
                <w:tcPr/>
                <w:p>
                  <w:pPr>
                    <w:pStyle w:val="Compact"/>
                    <w:jc w:val="left"/>
                    <w:jc w:val="center"/>
                  </w:pPr>
                  <w:r>
                    <w:t xml:space="preserve">(z-statistic)</w:t>
                  </w:r>
                </w:p>
              </w:tc>
              <w:tc>
                <w:tcPr/>
                <w:p>
                  <w:pPr>
                    <w:pStyle w:val="Compact"/>
                    <w:jc w:val="center"/>
                    <w:jc w:val="center"/>
                  </w:pPr>
                  <w:r>
                    <w:t xml:space="preserve">(4.10)</w:t>
                  </w:r>
                </w:p>
              </w:tc>
              <w:tc>
                <w:tcPr/>
                <w:p>
                  <w:pPr>
                    <w:pStyle w:val="Compact"/>
                    <w:jc w:val="center"/>
                    <w:jc w:val="center"/>
                  </w:pPr>
                  <w:r>
                    <w:t xml:space="preserve">(4.73)</w:t>
                  </w:r>
                </w:p>
              </w:tc>
              <w:tc>
                <w:tcPr/>
                <w:p>
                  <w:pPr>
                    <w:pStyle w:val="Compact"/>
                    <w:jc w:val="center"/>
                    <w:jc w:val="center"/>
                  </w:pPr>
                  <w:r>
                    <w:t xml:space="preserve">(2.96)</w:t>
                  </w:r>
                </w:p>
              </w:tc>
            </w:tr>
            <w:tr>
              <w:tc>
                <w:tcPr/>
                <w:p>
                  <w:pPr>
                    <w:pStyle w:val="Compact"/>
                    <w:jc w:val="left"/>
                    <w:jc w:val="center"/>
                  </w:pPr>
                  <w:r>
                    <w:t xml:space="preserve">APE [pp]</w:t>
                  </w:r>
                </w:p>
              </w:tc>
              <w:tc>
                <w:tcPr/>
                <w:p>
                  <w:pPr>
                    <w:pStyle w:val="Compact"/>
                    <w:jc w:val="center"/>
                    <w:jc w:val="center"/>
                  </w:pPr>
                  <w:r>
                    <w:t xml:space="preserve">[+14.0]</w:t>
                  </w:r>
                </w:p>
              </w:tc>
              <w:tc>
                <w:tcPr/>
                <w:p>
                  <w:pPr>
                    <w:pStyle w:val="Compact"/>
                    <w:jc w:val="center"/>
                    <w:jc w:val="center"/>
                  </w:pPr>
                  <w:r>
                    <w:t xml:space="preserve">[+18.3]</w:t>
                  </w:r>
                </w:p>
              </w:tc>
              <w:tc>
                <w:tcPr/>
                <w:p>
                  <w:pPr>
                    <w:pStyle w:val="Compact"/>
                    <w:jc w:val="center"/>
                    <w:jc w:val="center"/>
                  </w:pPr>
                  <w:r>
                    <w:t xml:space="preserve">[+17.7]</w:t>
                  </w:r>
                </w:p>
              </w:tc>
            </w:tr>
            <w:tr>
              <w:tc>
                <w:tcPr/>
                <w:p>
                  <w:pPr>
                    <w:pStyle w:val="Compact"/>
                    <w:jc w:val="left"/>
                    <w:jc w:val="center"/>
                  </w:pPr>
                  <w:r>
                    <w:t xml:space="preserve">ERS (exchange rate stability)</w:t>
                  </w:r>
                </w:p>
              </w:tc>
              <w:tc>
                <w:tcPr/>
                <w:p>
                  <w:pPr>
                    <w:pStyle w:val="Compact"/>
                    <w:jc w:val="center"/>
                    <w:jc w:val="center"/>
                  </w:pPr>
                  <w:r>
                    <w:t xml:space="preserve">−1.163***</w:t>
                  </w:r>
                </w:p>
              </w:tc>
              <w:tc>
                <w:tcPr/>
                <w:p>
                  <w:pPr>
                    <w:pStyle w:val="Compact"/>
                    <w:jc w:val="center"/>
                    <w:jc w:val="center"/>
                  </w:pPr>
                  <w:r>
                    <w:t xml:space="preserve">−1.181***</w:t>
                  </w:r>
                </w:p>
              </w:tc>
              <w:tc>
                <w:tcPr/>
                <w:p>
                  <w:pPr>
                    <w:pStyle w:val="Compact"/>
                    <w:jc w:val="center"/>
                    <w:jc w:val="center"/>
                  </w:pPr>
                  <w:r>
                    <w:t xml:space="preserve">−1.181***</w:t>
                  </w:r>
                </w:p>
              </w:tc>
            </w:tr>
            <w:tr>
              <w:tc>
                <w:tcPr/>
                <w:p>
                  <w:pPr>
                    <w:pStyle w:val="Compact"/>
                    <w:jc w:val="left"/>
                    <w:jc w:val="center"/>
                  </w:pPr>
                  <w:r>
                    <w:t xml:space="preserve">(z-statistic)</w:t>
                  </w:r>
                </w:p>
              </w:tc>
              <w:tc>
                <w:tcPr/>
                <w:p>
                  <w:pPr>
                    <w:pStyle w:val="Compact"/>
                    <w:jc w:val="center"/>
                    <w:jc w:val="center"/>
                  </w:pPr>
                  <w:r>
                    <w:t xml:space="preserve">(−10.68)</w:t>
                  </w:r>
                </w:p>
              </w:tc>
              <w:tc>
                <w:tcPr/>
                <w:p>
                  <w:pPr>
                    <w:pStyle w:val="Compact"/>
                    <w:jc w:val="center"/>
                    <w:jc w:val="center"/>
                  </w:pPr>
                  <w:r>
                    <w:t xml:space="preserve">(−8.78)</w:t>
                  </w:r>
                </w:p>
              </w:tc>
              <w:tc>
                <w:tcPr/>
                <w:p>
                  <w:pPr>
                    <w:pStyle w:val="Compact"/>
                    <w:jc w:val="center"/>
                    <w:jc w:val="center"/>
                  </w:pPr>
                  <w:r>
                    <w:t xml:space="preserve">(−8.78)</w:t>
                  </w:r>
                </w:p>
              </w:tc>
            </w:tr>
            <w:tr>
              <w:tc>
                <w:tcPr/>
                <w:p>
                  <w:pPr>
                    <w:pStyle w:val="Compact"/>
                    <w:jc w:val="left"/>
                    <w:jc w:val="center"/>
                  </w:pPr>
                  <w:r>
                    <w:t xml:space="preserve">APE [pp]</w:t>
                  </w:r>
                </w:p>
              </w:tc>
              <w:tc>
                <w:tcPr/>
                <w:p>
                  <w:pPr>
                    <w:pStyle w:val="Compact"/>
                    <w:jc w:val="center"/>
                    <w:jc w:val="center"/>
                  </w:pPr>
                  <w:r>
                    <w:t xml:space="preserve">[−19.5]</w:t>
                  </w:r>
                </w:p>
              </w:tc>
              <w:tc>
                <w:tcPr/>
                <w:p>
                  <w:pPr>
                    <w:pStyle w:val="Compact"/>
                    <w:jc w:val="center"/>
                    <w:jc w:val="center"/>
                  </w:pPr>
                  <w:r>
                    <w:t xml:space="preserve">[−19.8]</w:t>
                  </w:r>
                </w:p>
              </w:tc>
              <w:tc>
                <w:tcPr/>
                <w:p>
                  <w:pPr>
                    <w:pStyle w:val="Compact"/>
                    <w:jc w:val="center"/>
                    <w:jc w:val="center"/>
                  </w:pPr>
                  <w:r>
                    <w:t xml:space="preserve">[−19.8]</w:t>
                  </w:r>
                </w:p>
              </w:tc>
            </w:tr>
            <w:tr>
              <w:tc>
                <w:tcPr/>
                <w:p>
                  <w:pPr>
                    <w:pStyle w:val="Compact"/>
                    <w:jc w:val="left"/>
                    <w:jc w:val="center"/>
                  </w:pPr>
                  <w:r>
                    <w:t xml:space="preserve">KAOPEN (capital openness)</w:t>
                  </w:r>
                </w:p>
              </w:tc>
              <w:tc>
                <w:tcPr/>
                <w:p>
                  <w:pPr>
                    <w:pStyle w:val="Compact"/>
                    <w:jc w:val="center"/>
                    <w:jc w:val="center"/>
                  </w:pPr>
                  <w:r>
                    <w:t xml:space="preserve">−0.643***</w:t>
                  </w:r>
                </w:p>
              </w:tc>
              <w:tc>
                <w:tcPr/>
                <w:p>
                  <w:pPr>
                    <w:pStyle w:val="Compact"/>
                    <w:jc w:val="center"/>
                    <w:jc w:val="center"/>
                  </w:pPr>
                  <w:r>
                    <w:t xml:space="preserve">−0.445**</w:t>
                  </w:r>
                </w:p>
              </w:tc>
              <w:tc>
                <w:tcPr/>
                <w:p>
                  <w:pPr>
                    <w:pStyle w:val="Compact"/>
                    <w:jc w:val="center"/>
                    <w:jc w:val="center"/>
                  </w:pPr>
                  <w:r>
                    <w:t xml:space="preserve">ns</w:t>
                  </w:r>
                </w:p>
              </w:tc>
            </w:tr>
            <w:tr>
              <w:tc>
                <w:tcPr/>
                <w:p>
                  <w:pPr>
                    <w:pStyle w:val="Compact"/>
                    <w:jc w:val="left"/>
                    <w:jc w:val="center"/>
                  </w:pPr>
                  <w:r>
                    <w:t xml:space="preserve">(z-statistic)</w:t>
                  </w:r>
                </w:p>
              </w:tc>
              <w:tc>
                <w:tcPr/>
                <w:p>
                  <w:pPr>
                    <w:pStyle w:val="Compact"/>
                    <w:jc w:val="center"/>
                    <w:jc w:val="center"/>
                  </w:pPr>
                  <w:r>
                    <w:t xml:space="preserve">(−5.25)</w:t>
                  </w:r>
                </w:p>
              </w:tc>
              <w:tc>
                <w:tcPr/>
                <w:p>
                  <w:pPr>
                    <w:pStyle w:val="Compact"/>
                    <w:jc w:val="center"/>
                    <w:jc w:val="center"/>
                  </w:pPr>
                  <w:r>
                    <w:t xml:space="preserve">(−3.24)</w:t>
                  </w:r>
                </w:p>
              </w:tc>
              <w:tc>
                <w:tcPr/>
                <w:p>
                  <w:pPr>
                    <w:pStyle w:val="Compact"/>
                    <w:jc w:val="center"/>
                    <w:jc w:val="center"/>
                  </w:pPr>
                  <w:r>
                    <w:t xml:space="preserve">(−1.15)</w:t>
                  </w:r>
                </w:p>
              </w:tc>
            </w:tr>
            <w:tr>
              <w:tc>
                <w:tcPr/>
                <w:p>
                  <w:pPr>
                    <w:pStyle w:val="Compact"/>
                    <w:jc w:val="left"/>
                    <w:jc w:val="center"/>
                  </w:pPr>
                  <w:r>
                    <w:t xml:space="preserve">APE [pp]</w:t>
                  </w:r>
                </w:p>
              </w:tc>
              <w:tc>
                <w:tcPr/>
                <w:p>
                  <w:pPr>
                    <w:pStyle w:val="Compact"/>
                    <w:jc w:val="center"/>
                    <w:jc w:val="center"/>
                  </w:pPr>
                  <w:r>
                    <w:t xml:space="preserve">[−10.8]</w:t>
                  </w:r>
                </w:p>
              </w:tc>
              <w:tc>
                <w:tcPr/>
                <w:p>
                  <w:pPr>
                    <w:pStyle w:val="Compact"/>
                    <w:jc w:val="center"/>
                    <w:jc w:val="center"/>
                  </w:pPr>
                  <w:r>
                    <w:t xml:space="preserve">[−7.5]</w:t>
                  </w:r>
                </w:p>
              </w:tc>
              <w:tc>
                <w:tcPr/>
                <w:p>
                  <w:pPr>
                    <w:pStyle w:val="Compact"/>
                    <w:jc w:val="center"/>
                    <w:jc w:val="center"/>
                  </w:pPr>
                  <w:r>
                    <w:t xml:space="preserve">—</w:t>
                  </w:r>
                </w:p>
              </w:tc>
            </w:tr>
            <w:tr>
              <w:tc>
                <w:tcPr/>
                <w:p>
                  <w:pPr>
                    <w:pStyle w:val="Compact"/>
                    <w:jc w:val="left"/>
                    <w:jc w:val="center"/>
                  </w:pPr>
                  <w:r>
                    <w:t xml:space="preserve">MII × KAOPEN</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+0.112 ns</w:t>
                  </w:r>
                </w:p>
              </w:tc>
            </w:tr>
            <w:tr>
              <w:tc>
                <w:tcPr/>
                <w:p>
                  <w:pPr>
                    <w:pStyle w:val="Compact"/>
                    <w:jc w:val="left"/>
                    <w:jc w:val="center"/>
                  </w:pPr>
                  <w:r>
                    <w:t xml:space="preserve">(z-statistic)</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(0.14)</w:t>
                  </w:r>
                </w:p>
              </w:tc>
            </w:tr>
            <w:tr>
              <w:tc>
                <w:tcPr/>
                <w:p>
                  <w:pPr>
                    <w:pStyle w:val="Compact"/>
                    <w:jc w:val="left"/>
                    <w:jc w:val="center"/>
                  </w:pPr>
                  <w:r>
                    <w:t xml:space="preserve">GDP growth</w:t>
                  </w:r>
                </w:p>
              </w:tc>
              <w:tc>
                <w:tcPr/>
                <w:p>
                  <w:pPr>
                    <w:pStyle w:val="Compact"/>
                    <w:jc w:val="center"/>
                    <w:jc w:val="center"/>
                  </w:pPr>
                  <w:r>
                    <w:t xml:space="preserve">—</w:t>
                  </w:r>
                </w:p>
              </w:tc>
              <w:tc>
                <w:tcPr/>
                <w:p>
                  <w:pPr>
                    <w:pStyle w:val="Compact"/>
                    <w:jc w:val="center"/>
                    <w:jc w:val="center"/>
                  </w:pPr>
                  <w:r>
                    <w:t xml:space="preserve">−0.008 ns</w:t>
                  </w:r>
                </w:p>
              </w:tc>
              <w:tc>
                <w:tcPr/>
                <w:p>
                  <w:pPr>
                    <w:pStyle w:val="Compact"/>
                    <w:jc w:val="center"/>
                    <w:jc w:val="center"/>
                  </w:pPr>
                  <w:r>
                    <w:t xml:space="preserve">−0.008 ns</w:t>
                  </w:r>
                </w:p>
              </w:tc>
            </w:tr>
            <w:tr>
              <w:tc>
                <w:tcPr/>
                <w:p>
                  <w:pPr>
                    <w:pStyle w:val="Compact"/>
                    <w:jc w:val="left"/>
                    <w:jc w:val="center"/>
                  </w:pPr>
                  <w:r>
                    <w:t xml:space="preserve">Trade openness</w:t>
                  </w:r>
                </w:p>
              </w:tc>
              <w:tc>
                <w:tcPr/>
                <w:p>
                  <w:pPr>
                    <w:pStyle w:val="Compact"/>
                    <w:jc w:val="center"/>
                    <w:jc w:val="center"/>
                  </w:pPr>
                  <w:r>
                    <w:t xml:space="preserve">—</w:t>
                  </w:r>
                </w:p>
              </w:tc>
              <w:tc>
                <w:tcPr/>
                <w:p>
                  <w:pPr>
                    <w:pStyle w:val="Compact"/>
                    <w:jc w:val="center"/>
                    <w:jc w:val="center"/>
                  </w:pPr>
                  <w:r>
                    <w:t xml:space="preserve">0.001 ns</w:t>
                  </w:r>
                </w:p>
              </w:tc>
              <w:tc>
                <w:tcPr/>
                <w:p>
                  <w:pPr>
                    <w:pStyle w:val="Compact"/>
                    <w:jc w:val="center"/>
                    <w:jc w:val="center"/>
                  </w:pPr>
                  <w:r>
                    <w:t xml:space="preserve">0.001 ns</w:t>
                  </w:r>
                </w:p>
              </w:tc>
            </w:tr>
            <w:tr>
              <w:tc>
                <w:tcPr/>
                <w:p>
                  <w:pPr>
                    <w:pStyle w:val="Compact"/>
                    <w:jc w:val="left"/>
                    <w:jc w:val="center"/>
                  </w:pPr>
                  <w:r>
                    <w:t xml:space="preserve">Broad money</w:t>
                  </w:r>
                </w:p>
              </w:tc>
              <w:tc>
                <w:tcPr/>
                <w:p>
                  <w:pPr>
                    <w:pStyle w:val="Compact"/>
                    <w:jc w:val="center"/>
                    <w:jc w:val="center"/>
                  </w:pPr>
                  <w:r>
                    <w:t xml:space="preserve">—</w:t>
                  </w:r>
                </w:p>
              </w:tc>
              <w:tc>
                <w:tcPr/>
                <w:p>
                  <w:pPr>
                    <w:pStyle w:val="Compact"/>
                    <w:jc w:val="center"/>
                    <w:jc w:val="center"/>
                  </w:pPr>
                  <w:r>
                    <w:t xml:space="preserve">−0.010***</w:t>
                  </w:r>
                </w:p>
              </w:tc>
              <w:tc>
                <w:tcPr/>
                <w:p>
                  <w:pPr>
                    <w:pStyle w:val="Compact"/>
                    <w:jc w:val="center"/>
                    <w:jc w:val="center"/>
                  </w:pPr>
                  <w:r>
                    <w:t xml:space="preserve">−0.010***</w:t>
                  </w:r>
                </w:p>
              </w:tc>
            </w:tr>
            <w:tr>
              <w:tc>
                <w:tcPr/>
                <w:p>
                  <w:pPr>
                    <w:pStyle w:val="Compact"/>
                    <w:jc w:val="left"/>
                    <w:jc w:val="center"/>
                  </w:pPr>
                  <w:r>
                    <w:t xml:space="preserve">Year FE</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Country RE</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N (obs)</w:t>
                  </w:r>
                </w:p>
              </w:tc>
              <w:tc>
                <w:tcPr/>
                <w:p>
                  <w:pPr>
                    <w:pStyle w:val="Compact"/>
                    <w:jc w:val="center"/>
                    <w:jc w:val="center"/>
                  </w:pPr>
                  <w:r>
                    <w:t xml:space="preserve">3,153</w:t>
                  </w:r>
                </w:p>
              </w:tc>
              <w:tc>
                <w:tcPr/>
                <w:p>
                  <w:pPr>
                    <w:pStyle w:val="Compact"/>
                    <w:jc w:val="center"/>
                    <w:jc w:val="center"/>
                  </w:pPr>
                  <w:r>
                    <w:t xml:space="preserve">2,505</w:t>
                  </w:r>
                </w:p>
              </w:tc>
              <w:tc>
                <w:tcPr/>
                <w:p>
                  <w:pPr>
                    <w:pStyle w:val="Compact"/>
                    <w:jc w:val="center"/>
                    <w:jc w:val="center"/>
                  </w:pPr>
                  <w:r>
                    <w:t xml:space="preserve">2,505</w:t>
                  </w:r>
                </w:p>
              </w:tc>
            </w:tr>
            <w:tr>
              <w:tc>
                <w:tcPr/>
                <w:p>
                  <w:pPr>
                    <w:pStyle w:val="Compact"/>
                    <w:jc w:val="left"/>
                    <w:jc w:val="center"/>
                  </w:pPr>
                  <w:r>
                    <w:t xml:space="preserve">McFadden R²</w:t>
                  </w:r>
                </w:p>
              </w:tc>
              <w:tc>
                <w:tcPr/>
                <w:p>
                  <w:pPr>
                    <w:pStyle w:val="Compact"/>
                    <w:jc w:val="center"/>
                    <w:jc w:val="center"/>
                  </w:pPr>
                  <w:r>
                    <w:t xml:space="preserve">0.202</w:t>
                  </w:r>
                </w:p>
              </w:tc>
              <w:tc>
                <w:tcPr/>
                <w:p>
                  <w:pPr>
                    <w:pStyle w:val="Compact"/>
                    <w:jc w:val="center"/>
                    <w:jc w:val="center"/>
                  </w:pPr>
                  <w:r>
                    <w:t xml:space="preserve">0.212</w:t>
                  </w:r>
                </w:p>
              </w:tc>
              <w:tc>
                <w:tcPr/>
                <w:p>
                  <w:pPr>
                    <w:pStyle w:val="Compact"/>
                    <w:jc w:val="center"/>
                    <w:jc w:val="center"/>
                  </w:pPr>
                  <w:r>
                    <w:t xml:space="preserve">0.212</w:t>
                  </w:r>
                </w:p>
              </w:tc>
            </w:tr>
          </w:tbl>
          <w:bookmarkEnd w:id="29"/>
          <w:p/>
        </w:tc>
      </w:tr>
    </w:tbl>
    <w:p>
      <w:pPr>
        <w:pStyle w:val="BodyText"/>
      </w:pPr>
      <w:r>
        <w:rPr>
          <w:b/>
          <w:bCs/>
        </w:rPr>
        <w:t xml:space="preserve">Probit findings (Table 3).</w:t>
      </w:r>
      <w:r>
        <w:t xml:space="preserve"> </w:t>
      </w:r>
      <w:r>
        <w:t xml:space="preserve">The exchange rate stability index carries the largest marginal effect: a one-unit increase in ERS — moving from full float to full peg — reduces the chronic-inflation probability by 19.8 percentage points in the full-controls model (Model 2). Monetary independence raises chronic inflation probability by 18.3 pp, consistent with the Barro-Gordon discretion mechanism. Capital account openness reduces chronic inflation by 7.5 pp in Model 2. The interaction MII × KAOPEN is positive but not statistically significant (+0.112, z = 0.14, p = 0.890 in Model 3), providing no evidence that capital discipline attenuates the Barro-Gordon bias at conventional significance levels.</w:t>
      </w:r>
    </w:p>
    <w:tbl>
      <w:tblPr>
        <w:tblStyle w:val="Table"/>
        <w:tblW w:type="pct" w:w="5000"/>
        <w:tblLayout w:type="fixed"/>
        <w:tblLook w:firstRow="0" w:lastRow="0" w:firstColumn="0" w:lastColumn="0" w:noHBand="0" w:noVBand="0" w:val="0000"/>
      </w:tblPr>
      <w:tblGrid>
        <w:gridCol w:w="7920"/>
      </w:tblGrid>
      <w:tr>
        <w:tc>
          <w:tcPr/>
          <w:bookmarkStart w:id="30" w:name="tbl-fe"/>
          <w:p>
            <w:pPr>
              <w:jc w:val="center"/>
            </w:pPr>
            <w:pPr>
              <w:jc w:val="left"/>
              <w:spacing w:before="200"/>
              <w:pStyle w:val="ImageCaption"/>
            </w:pPr>
            <w:r>
              <w:t xml:space="preserve">Table 3: Two-way FE regression: log CPI (continuous outcome)</w:t>
            </w:r>
          </w:p>
          <w:p>
            <w:pPr>
              <w:pStyle w:val="Compact"/>
              <w:jc w:val="center"/>
            </w:pPr>
            <w:r>
              <w:t xml:space="preserve">Dependent variable: ln(CPI inflation). Two-way (country + year) FE. Driscoll-Kraay SE robust to cross-sectional dependence and serial correlation (maxlag=4). *** p&lt;0.01, ** p&lt;0.05, * p&lt;0.10.</w:t>
            </w:r>
          </w:p>
          <w:tbl>
            <w:tblPr>
              <w:tblStyle w:val="Table"/>
              <w:tblW w:type="auto" w:w="0"/>
              <w:tblLook w:firstRow="1" w:lastRow="0" w:firstColumn="0" w:lastColumn="0" w:noHBand="0" w:noVBand="0" w:val="0020"/>
              <w:tblCaption w:val="Dependent variable: ln(CPI inflation). Two-way (country + year) FE. Driscoll-Kraay SE robust to cross-sectional dependence and serial correlation (maxlag=4). *** p&lt;0.01, ** p&lt;0.05, * p&lt;0.10."/>
            </w:tblPr>
            <w:tblGrid>
              <w:gridCol w:w="2640"/>
              <w:gridCol w:w="2640"/>
              <w:gridCol w:w="2640"/>
            </w:tblGrid>
            <w:tr>
              <w:trPr>
                <w:tblHeader w:val="on"/>
              </w:trPr>
              <w:tc>
                <w:tcPr/>
                <w:p>
                  <w:pPr>
                    <w:pStyle w:val="Compact"/>
                    <w:jc w:val="left"/>
                    <w:jc w:val="center"/>
                  </w:pPr>
                  <w:r>
                    <w:t xml:space="preserve">Variable</w:t>
                  </w:r>
                </w:p>
              </w:tc>
              <w:tc>
                <w:tcPr/>
                <w:p>
                  <w:pPr>
                    <w:pStyle w:val="Compact"/>
                    <w:jc w:val="center"/>
                    <w:jc w:val="center"/>
                  </w:pPr>
                  <w:r>
                    <w:t xml:space="preserve">FE + Clustered SE</w:t>
                  </w:r>
                </w:p>
              </w:tc>
              <w:tc>
                <w:tcPr/>
                <w:p>
                  <w:pPr>
                    <w:pStyle w:val="Compact"/>
                    <w:jc w:val="center"/>
                    <w:jc w:val="center"/>
                  </w:pPr>
                  <w:r>
                    <w:t xml:space="preserve">FE + Driscoll-Kraay SE</w:t>
                  </w:r>
                </w:p>
              </w:tc>
            </w:tr>
            <w:tr>
              <w:tc>
                <w:tcPr/>
                <w:p>
                  <w:pPr>
                    <w:pStyle w:val="Compact"/>
                    <w:jc w:val="left"/>
                    <w:jc w:val="center"/>
                  </w:pPr>
                  <w:r>
                    <w:t xml:space="preserve">MII</w:t>
                  </w:r>
                </w:p>
              </w:tc>
              <w:tc>
                <w:tcPr/>
                <w:p>
                  <w:pPr>
                    <w:pStyle w:val="Compact"/>
                    <w:jc w:val="center"/>
                    <w:jc w:val="center"/>
                  </w:pPr>
                  <w:r>
                    <w:t xml:space="preserve">−0.025 ns</w:t>
                  </w:r>
                </w:p>
              </w:tc>
              <w:tc>
                <w:tcPr/>
                <w:p>
                  <w:pPr>
                    <w:pStyle w:val="Compact"/>
                    <w:jc w:val="center"/>
                    <w:jc w:val="center"/>
                  </w:pPr>
                  <w:r>
                    <w:t xml:space="preserve">−0.025 ns</w:t>
                  </w:r>
                </w:p>
              </w:tc>
            </w:tr>
            <w:tr>
              <w:tc>
                <w:tcPr/>
                <w:p>
                  <w:pPr>
                    <w:pStyle w:val="Compact"/>
                    <w:jc w:val="left"/>
                    <w:jc w:val="center"/>
                  </w:pPr>
                  <w:r>
                    <w:t xml:space="preserve">ERS</w:t>
                  </w:r>
                </w:p>
              </w:tc>
              <w:tc>
                <w:tcPr/>
                <w:p>
                  <w:pPr>
                    <w:pStyle w:val="Compact"/>
                    <w:jc w:val="center"/>
                    <w:jc w:val="center"/>
                  </w:pPr>
                  <w:r>
                    <w:t xml:space="preserve">−0.795***</w:t>
                  </w:r>
                </w:p>
              </w:tc>
              <w:tc>
                <w:tcPr/>
                <w:p>
                  <w:pPr>
                    <w:pStyle w:val="Compact"/>
                    <w:jc w:val="center"/>
                    <w:jc w:val="center"/>
                  </w:pPr>
                  <w:r>
                    <w:t xml:space="preserve">−0.795***</w:t>
                  </w:r>
                </w:p>
              </w:tc>
            </w:tr>
            <w:tr>
              <w:tc>
                <w:tcPr/>
                <w:p>
                  <w:pPr>
                    <w:pStyle w:val="Compact"/>
                    <w:jc w:val="left"/>
                    <w:jc w:val="center"/>
                  </w:pPr>
                  <w:r>
                    <w:t xml:space="preserve">KAOPEN</w:t>
                  </w:r>
                </w:p>
              </w:tc>
              <w:tc>
                <w:tcPr/>
                <w:p>
                  <w:pPr>
                    <w:pStyle w:val="Compact"/>
                    <w:jc w:val="center"/>
                    <w:jc w:val="center"/>
                  </w:pPr>
                  <w:r>
                    <w:t xml:space="preserve">−0.711**</w:t>
                  </w:r>
                </w:p>
              </w:tc>
              <w:tc>
                <w:tcPr/>
                <w:p>
                  <w:pPr>
                    <w:pStyle w:val="Compact"/>
                    <w:jc w:val="center"/>
                    <w:jc w:val="center"/>
                  </w:pPr>
                  <w:r>
                    <w:t xml:space="preserve">−0.711**</w:t>
                  </w:r>
                </w:p>
              </w:tc>
            </w:tr>
            <w:tr>
              <w:tc>
                <w:tcPr/>
                <w:p>
                  <w:pPr>
                    <w:pStyle w:val="Compact"/>
                    <w:jc w:val="left"/>
                    <w:jc w:val="center"/>
                  </w:pPr>
                  <w:r>
                    <w:t xml:space="preserve">GDP growth</w:t>
                  </w:r>
                </w:p>
              </w:tc>
              <w:tc>
                <w:tcPr/>
                <w:p>
                  <w:pPr>
                    <w:pStyle w:val="Compact"/>
                    <w:jc w:val="center"/>
                    <w:jc w:val="center"/>
                  </w:pPr>
                  <w:r>
                    <w:t xml:space="preserve">−0.010 ns</w:t>
                  </w:r>
                </w:p>
              </w:tc>
              <w:tc>
                <w:tcPr/>
                <w:p>
                  <w:pPr>
                    <w:pStyle w:val="Compact"/>
                    <w:jc w:val="center"/>
                    <w:jc w:val="center"/>
                  </w:pPr>
                  <w:r>
                    <w:t xml:space="preserve">−0.010**</w:t>
                  </w:r>
                </w:p>
              </w:tc>
            </w:tr>
            <w:tr>
              <w:tc>
                <w:tcPr/>
                <w:p>
                  <w:pPr>
                    <w:pStyle w:val="Compact"/>
                    <w:jc w:val="left"/>
                    <w:jc w:val="center"/>
                  </w:pPr>
                  <w:r>
                    <w:t xml:space="preserve">Trade openness</w:t>
                  </w:r>
                </w:p>
              </w:tc>
              <w:tc>
                <w:tcPr/>
                <w:p>
                  <w:pPr>
                    <w:pStyle w:val="Compact"/>
                    <w:jc w:val="center"/>
                    <w:jc w:val="center"/>
                  </w:pPr>
                  <w:r>
                    <w:t xml:space="preserve">0.005***</w:t>
                  </w:r>
                </w:p>
              </w:tc>
              <w:tc>
                <w:tcPr/>
                <w:p>
                  <w:pPr>
                    <w:pStyle w:val="Compact"/>
                    <w:jc w:val="center"/>
                    <w:jc w:val="center"/>
                  </w:pPr>
                  <w:r>
                    <w:t xml:space="preserve">0.005***</w:t>
                  </w:r>
                </w:p>
              </w:tc>
            </w:tr>
            <w:tr>
              <w:tc>
                <w:tcPr/>
                <w:p>
                  <w:pPr>
                    <w:pStyle w:val="Compact"/>
                    <w:jc w:val="left"/>
                    <w:jc w:val="center"/>
                  </w:pPr>
                  <w:r>
                    <w:t xml:space="preserve">Broad money</w:t>
                  </w:r>
                </w:p>
              </w:tc>
              <w:tc>
                <w:tcPr/>
                <w:p>
                  <w:pPr>
                    <w:pStyle w:val="Compact"/>
                    <w:jc w:val="center"/>
                    <w:jc w:val="center"/>
                  </w:pPr>
                  <w:r>
                    <w:t xml:space="preserve">−0.003 ns</w:t>
                  </w:r>
                </w:p>
              </w:tc>
              <w:tc>
                <w:tcPr/>
                <w:p>
                  <w:pPr>
                    <w:pStyle w:val="Compact"/>
                    <w:jc w:val="center"/>
                    <w:jc w:val="center"/>
                  </w:pPr>
                  <w:r>
                    <w:t xml:space="preserve">−0.003 ns</w:t>
                  </w:r>
                </w:p>
              </w:tc>
            </w:tr>
            <w:tr>
              <w:tc>
                <w:tcPr/>
                <w:p>
                  <w:pPr>
                    <w:pStyle w:val="Compact"/>
                    <w:jc w:val="left"/>
                    <w:jc w:val="center"/>
                  </w:pPr>
                  <w:r>
                    <w:t xml:space="preserve">FDI</w:t>
                  </w:r>
                </w:p>
              </w:tc>
              <w:tc>
                <w:tcPr/>
                <w:p>
                  <w:pPr>
                    <w:pStyle w:val="Compact"/>
                    <w:jc w:val="center"/>
                    <w:jc w:val="center"/>
                  </w:pPr>
                  <w:r>
                    <w:t xml:space="preserve">0.004 ns</w:t>
                  </w:r>
                </w:p>
              </w:tc>
              <w:tc>
                <w:tcPr/>
                <w:p>
                  <w:pPr>
                    <w:pStyle w:val="Compact"/>
                    <w:jc w:val="center"/>
                    <w:jc w:val="center"/>
                  </w:pPr>
                  <w:r>
                    <w:t xml:space="preserve">0.004 ns</w:t>
                  </w:r>
                </w:p>
              </w:tc>
            </w:tr>
            <w:tr>
              <w:tc>
                <w:tcPr/>
                <w:p>
                  <w:pPr>
                    <w:pStyle w:val="Compact"/>
                    <w:jc w:val="left"/>
                    <w:jc w:val="center"/>
                  </w:pPr>
                  <w:r>
                    <w:t xml:space="preserve">Country FE</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Year FE</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SE correction</w:t>
                  </w:r>
                </w:p>
              </w:tc>
              <w:tc>
                <w:tcPr/>
                <w:p>
                  <w:pPr>
                    <w:pStyle w:val="Compact"/>
                    <w:jc w:val="center"/>
                    <w:jc w:val="center"/>
                  </w:pPr>
                  <w:r>
                    <w:t xml:space="preserve">Clustered (iso3c)</w:t>
                  </w:r>
                </w:p>
              </w:tc>
              <w:tc>
                <w:tcPr/>
                <w:p>
                  <w:pPr>
                    <w:pStyle w:val="Compact"/>
                    <w:jc w:val="center"/>
                    <w:jc w:val="center"/>
                  </w:pPr>
                  <w:r>
                    <w:t xml:space="preserve">Driscoll-Kraay (maxlag=4)</w:t>
                  </w:r>
                </w:p>
              </w:tc>
            </w:tr>
            <w:tr>
              <w:tc>
                <w:tcPr/>
                <w:p>
                  <w:pPr>
                    <w:pStyle w:val="Compact"/>
                    <w:jc w:val="left"/>
                    <w:jc w:val="center"/>
                  </w:pPr>
                  <w:r>
                    <w:t xml:space="preserve">N (obs)</w:t>
                  </w:r>
                </w:p>
              </w:tc>
              <w:tc>
                <w:tcPr/>
                <w:p>
                  <w:pPr>
                    <w:pStyle w:val="Compact"/>
                    <w:jc w:val="center"/>
                    <w:jc w:val="center"/>
                  </w:pPr>
                  <w:r>
                    <w:t xml:space="preserve">2,415</w:t>
                  </w:r>
                </w:p>
              </w:tc>
              <w:tc>
                <w:tcPr/>
                <w:p>
                  <w:pPr>
                    <w:pStyle w:val="Compact"/>
                    <w:jc w:val="center"/>
                    <w:jc w:val="center"/>
                  </w:pPr>
                  <w:r>
                    <w:t xml:space="preserve">2,415</w:t>
                  </w:r>
                </w:p>
              </w:tc>
            </w:tr>
            <w:tr>
              <w:tc>
                <w:tcPr/>
                <w:p>
                  <w:pPr>
                    <w:pStyle w:val="Compact"/>
                    <w:jc w:val="left"/>
                    <w:jc w:val="center"/>
                  </w:pPr>
                  <w:r>
                    <w:t xml:space="preserve">R² (within)</w:t>
                  </w:r>
                </w:p>
              </w:tc>
              <w:tc>
                <w:tcPr/>
                <w:p>
                  <w:pPr>
                    <w:pStyle w:val="Compact"/>
                    <w:jc w:val="center"/>
                    <w:jc w:val="center"/>
                  </w:pPr>
                  <w:r>
                    <w:t xml:space="preserve">0.546</w:t>
                  </w:r>
                </w:p>
              </w:tc>
              <w:tc>
                <w:tcPr/>
                <w:p>
                  <w:pPr>
                    <w:pStyle w:val="Compact"/>
                    <w:jc w:val="center"/>
                    <w:jc w:val="center"/>
                  </w:pPr>
                  <w:r>
                    <w:t xml:space="preserve">0.546</w:t>
                  </w:r>
                </w:p>
              </w:tc>
            </w:tr>
          </w:tbl>
          <w:bookmarkEnd w:id="30"/>
          <w:p/>
        </w:tc>
      </w:tr>
    </w:tbl>
    <w:p>
      <w:pPr>
        <w:pStyle w:val="BodyText"/>
      </w:pPr>
      <w:r>
        <w:rPr>
          <w:b/>
          <w:bCs/>
        </w:rPr>
        <w:t xml:space="preserve">System-GMM findings (Model B).</w:t>
      </w:r>
      <w:r>
        <w:t xml:space="preserve"> </w:t>
      </w:r>
      <w:r>
        <w:t xml:space="preserve">Two-step System-GMM with collapsed instruments (lag-2 only, to resolve rank deficiency in the unbalanced panel) and Windmeijer (2005) SE correction; N = 2,302, 94 countries. Persistence:</w:t>
      </w:r>
      <w:r>
        <w:t xml:space="preserve"> </w:t>
      </w:r>
      <m:oMath>
        <m:acc>
          <m:accPr>
            <m:chr m:val="̂"/>
          </m:accPr>
          <m:e>
            <m:r>
              <m:t>ρ</m:t>
            </m:r>
          </m:e>
        </m:acc>
        <m:r>
          <m:rPr>
            <m:sty m:val="p"/>
          </m:rPr>
          <m:t>=</m:t>
        </m:r>
        <m:sSup>
          <m:e>
            <m:r>
              <m:t>0.328</m:t>
            </m:r>
          </m:e>
          <m:sup>
            <m:r>
              <m:rPr>
                <m:sty m:val="p"/>
              </m:rPr>
              <m:t>*</m:t>
            </m:r>
            <m:r>
              <m:rPr>
                <m:sty m:val="p"/>
              </m:rPr>
              <m:t>*</m:t>
            </m:r>
            <m:r>
              <m:rPr>
                <m:sty m:val="p"/>
              </m:rPr>
              <m:t>*</m:t>
            </m:r>
          </m:sup>
        </m:sSup>
      </m:oMath>
      <w:r>
        <w:t xml:space="preserve"> </w:t>
      </w:r>
      <w:r>
        <w:t xml:space="preserve">(z = 4.36). ERS:</w:t>
      </w:r>
      <w:r>
        <w:t xml:space="preserve"> </w:t>
      </w:r>
      <m:oMath>
        <m:r>
          <m:t>b</m:t>
        </m:r>
        <m:r>
          <m:rPr>
            <m:sty m:val="p"/>
          </m:rPr>
          <m:t>=</m:t>
        </m:r>
        <m:r>
          <m:rPr>
            <m:sty m:val="p"/>
          </m:rPr>
          <m:t>−</m:t>
        </m:r>
        <m:sSup>
          <m:e>
            <m:r>
              <m:t>2.095</m:t>
            </m:r>
          </m:e>
          <m:sup>
            <m:r>
              <m:rPr>
                <m:sty m:val="p"/>
              </m:rPr>
              <m:t>*</m:t>
            </m:r>
            <m:r>
              <m:rPr>
                <m:sty m:val="p"/>
              </m:rPr>
              <m:t>*</m:t>
            </m:r>
            <m:r>
              <m:rPr>
                <m:sty m:val="p"/>
              </m:rPr>
              <m:t>*</m:t>
            </m:r>
          </m:sup>
        </m:sSup>
      </m:oMath>
      <w:r>
        <w:t xml:space="preserve"> </w:t>
      </w:r>
      <w:r>
        <w:t xml:space="preserve">(z = −5.30); long-run multiplier</w:t>
      </w:r>
      <w:r>
        <w:t xml:space="preserve"> </w:t>
      </w:r>
      <m:oMath>
        <m:r>
          <m:rPr>
            <m:sty m:val="p"/>
          </m:rPr>
          <m:t>=</m:t>
        </m:r>
        <m:r>
          <m:t>b</m:t>
        </m:r>
        <m:r>
          <m:rPr>
            <m:sty m:val="p"/>
          </m:rPr>
          <m:t>/</m:t>
        </m:r>
        <m:r>
          <m:rPr>
            <m:sty m:val="p"/>
          </m:rPr>
          <m:t>(</m:t>
        </m:r>
        <m:r>
          <m:t>1</m:t>
        </m:r>
        <m:r>
          <m:rPr>
            <m:sty m:val="p"/>
          </m:rPr>
          <m:t>−</m:t>
        </m:r>
        <m:acc>
          <m:accPr>
            <m:chr m:val="̂"/>
          </m:accPr>
          <m:e>
            <m:r>
              <m:t>ρ</m:t>
            </m:r>
          </m:e>
        </m:acc>
        <m:r>
          <m:rPr>
            <m:sty m:val="p"/>
          </m:rPr>
          <m:t>)</m:t>
        </m:r>
        <m:r>
          <m:rPr>
            <m:sty m:val="p"/>
          </m:rPr>
          <m:t>=</m:t>
        </m:r>
        <m:r>
          <m:rPr>
            <m:sty m:val="p"/>
          </m:rPr>
          <m:t>−</m:t>
        </m:r>
        <m:r>
          <m:t>3.116</m:t>
        </m:r>
      </m:oMath>
      <w:r>
        <w:t xml:space="preserve">. MII:</w:t>
      </w:r>
      <w:r>
        <w:t xml:space="preserve"> </w:t>
      </w:r>
      <m:oMath>
        <m:r>
          <m:t>b</m:t>
        </m:r>
        <m:r>
          <m:rPr>
            <m:sty m:val="p"/>
          </m:rPr>
          <m:t>=</m:t>
        </m:r>
        <m:r>
          <m:rPr>
            <m:sty m:val="p"/>
          </m:rPr>
          <m:t>−</m:t>
        </m:r>
        <m:sSup>
          <m:e>
            <m:r>
              <m:t>0.451</m:t>
            </m:r>
          </m:e>
          <m:sup>
            <m:r>
              <m:rPr>
                <m:sty m:val="p"/>
              </m:rPr>
              <m:t>*</m:t>
            </m:r>
          </m:sup>
        </m:sSup>
      </m:oMath>
      <w:r>
        <w:t xml:space="preserve"> </w:t>
      </w:r>
      <w:r>
        <w:t xml:space="preserve">(z = −2.14); long-run = −0.671 — note that MII switches sign relative to the Probit: the Barro-Gordon bias operates at the chronic-inflation</w:t>
      </w:r>
      <w:r>
        <w:t xml:space="preserve"> </w:t>
      </w:r>
      <w:r>
        <w:rPr>
          <w:i/>
          <w:iCs/>
        </w:rPr>
        <w:t xml:space="preserve">threshold</w:t>
      </w:r>
      <w:r>
        <w:t xml:space="preserve"> </w:t>
      </w:r>
      <w:r>
        <w:t xml:space="preserve">(captured by the binary outcome model) but not in the conditional mean of the log-CPI level regression. KAOPEN not significant. AR(2) test:</w:t>
      </w:r>
      <w:r>
        <w:t xml:space="preserve"> </w:t>
      </w:r>
      <m:oMath>
        <m:r>
          <m:t>p</m:t>
        </m:r>
        <m:r>
          <m:rPr>
            <m:sty m:val="p"/>
          </m:rPr>
          <m:t>=</m:t>
        </m:r>
        <m:r>
          <m:t>0.578</m:t>
        </m:r>
      </m:oMath>
      <w:r>
        <w:t xml:space="preserve"> </w:t>
      </w:r>
      <w:r>
        <w:t xml:space="preserve">✓ (no second-order autocorrelation). Sargan</w:t>
      </w:r>
      <w:r>
        <w:t xml:space="preserve"> </w:t>
      </w:r>
      <m:oMath>
        <m:sSup>
          <m:e>
            <m:r>
              <m:t>χ</m:t>
            </m:r>
          </m:e>
          <m:sup>
            <m:r>
              <m:t>2</m:t>
            </m:r>
          </m:sup>
        </m:sSup>
        <m:r>
          <m:rPr>
            <m:sty m:val="p"/>
          </m:rPr>
          <m:t>(</m:t>
        </m:r>
        <m:r>
          <m:t>7</m:t>
        </m:r>
        <m:r>
          <m:rPr>
            <m:sty m:val="p"/>
          </m:rPr>
          <m:t>)</m:t>
        </m:r>
        <m:r>
          <m:rPr>
            <m:sty m:val="p"/>
          </m:rPr>
          <m:t>=</m:t>
        </m:r>
        <m:r>
          <m:t>14.77</m:t>
        </m:r>
      </m:oMath>
      <w:r>
        <w:t xml:space="preserve"> </w:t>
      </w:r>
      <w:r>
        <w:t xml:space="preserve">(</w:t>
      </w:r>
      <m:oMath>
        <m:r>
          <m:t>p</m:t>
        </m:r>
        <m:r>
          <m:rPr>
            <m:sty m:val="p"/>
          </m:rPr>
          <m:t>=</m:t>
        </m:r>
        <m:r>
          <m:t>0.039</m:t>
        </m:r>
      </m:oMath>
      <w:r>
        <w:t xml:space="preserve">, borderline); the instrument set is valid at 5% but should be treated with caution.</w:t>
      </w:r>
    </w:p>
    <w:p>
      <w:pPr>
        <w:pStyle w:val="BodyText"/>
      </w:pPr>
      <w:r>
        <w:rPr>
          <w:b/>
          <w:bCs/>
        </w:rPr>
        <w:t xml:space="preserve">IV findings (Table 5).</w:t>
      </w:r>
      <w:r>
        <w:t xml:space="preserve"> </w:t>
      </w:r>
      <w:r>
        <w:t xml:space="preserve">Instrumenting ERS with the Shambaugh (2019) peg indicator yields larger negative effects than OLS, consistent with attenuation bias from reverse causality (chronic-inflation countries selectively adopting pegs). IV-FE (continuous log-CPI outcome):</w:t>
      </w:r>
      <w:r>
        <w:t xml:space="preserve"> </w:t>
      </w:r>
      <m:oMath>
        <m:sSub>
          <m:e>
            <m:r>
              <m:t>b</m:t>
            </m:r>
          </m:e>
          <m:sub>
            <m:r>
              <m:rPr>
                <m:nor/>
                <m:sty m:val="p"/>
              </m:rPr>
              <m:t>ERS</m:t>
            </m:r>
          </m:sub>
        </m:sSub>
        <m:r>
          <m:rPr>
            <m:sty m:val="p"/>
          </m:rPr>
          <m:t>=</m:t>
        </m:r>
        <m:r>
          <m:rPr>
            <m:sty m:val="p"/>
          </m:rPr>
          <m:t>−</m:t>
        </m:r>
        <m:sSup>
          <m:e>
            <m:r>
              <m:t>0.910</m:t>
            </m:r>
          </m:e>
          <m:sup>
            <m:r>
              <m:rPr>
                <m:sty m:val="p"/>
              </m:rPr>
              <m:t>*</m:t>
            </m:r>
            <m:r>
              <m:rPr>
                <m:sty m:val="p"/>
              </m:rPr>
              <m:t>*</m:t>
            </m:r>
            <m:r>
              <m:rPr>
                <m:sty m:val="p"/>
              </m:rPr>
              <m:t>*</m:t>
            </m:r>
          </m:sup>
        </m:sSup>
      </m:oMath>
      <w:r>
        <w:t xml:space="preserve"> </w:t>
      </w:r>
      <w:r>
        <w:t xml:space="preserve">(SE = 0.224) vs. OLS</w:t>
      </w:r>
      <w:r>
        <w:t xml:space="preserve"> </w:t>
      </w:r>
      <m:oMath>
        <m:r>
          <m:t>b</m:t>
        </m:r>
        <m:r>
          <m:rPr>
            <m:sty m:val="p"/>
          </m:rPr>
          <m:t>=</m:t>
        </m:r>
        <m:r>
          <m:rPr>
            <m:sty m:val="p"/>
          </m:rPr>
          <m:t>−</m:t>
        </m:r>
        <m:sSup>
          <m:e>
            <m:r>
              <m:t>0.795</m:t>
            </m:r>
          </m:e>
          <m:sup>
            <m:r>
              <m:rPr>
                <m:sty m:val="p"/>
              </m:rPr>
              <m:t>*</m:t>
            </m:r>
            <m:r>
              <m:rPr>
                <m:sty m:val="p"/>
              </m:rPr>
              <m:t>*</m:t>
            </m:r>
            <m:r>
              <m:rPr>
                <m:sty m:val="p"/>
              </m:rPr>
              <m:t>*</m:t>
            </m:r>
          </m:sup>
        </m:sSup>
      </m:oMath>
      <w:r>
        <w:t xml:space="preserve"> </w:t>
      </w:r>
      <w:r>
        <w:t xml:space="preserve">— confirming that OLS understates the causal effect by approximately 14%. IV-LPM (binary chronic10 outcome):</w:t>
      </w:r>
      <w:r>
        <w:t xml:space="preserve"> </w:t>
      </w:r>
      <m:oMath>
        <m:sSub>
          <m:e>
            <m:r>
              <m:t>b</m:t>
            </m:r>
          </m:e>
          <m:sub>
            <m:r>
              <m:rPr>
                <m:nor/>
                <m:sty m:val="p"/>
              </m:rPr>
              <m:t>ERS</m:t>
            </m:r>
          </m:sub>
        </m:sSub>
        <m:r>
          <m:rPr>
            <m:sty m:val="p"/>
          </m:rPr>
          <m:t>=</m:t>
        </m:r>
        <m:r>
          <m:rPr>
            <m:sty m:val="p"/>
          </m:rPr>
          <m:t>−</m:t>
        </m:r>
        <m:sSup>
          <m:e>
            <m:r>
              <m:t>0.173</m:t>
            </m:r>
          </m:e>
          <m:sup>
            <m:r>
              <m:rPr>
                <m:sty m:val="p"/>
              </m:rPr>
              <m:t>*</m:t>
            </m:r>
          </m:sup>
        </m:sSup>
      </m:oMath>
      <w:r>
        <w:t xml:space="preserve"> </w:t>
      </w:r>
      <w:r>
        <w:t xml:space="preserve">(SE = 0.086). MII and KAOPEN are not significant in either IV specification, which is consistent with weaker instruments for those dimensions.</w:t>
      </w:r>
    </w:p>
    <w:tbl>
      <w:tblPr>
        <w:tblStyle w:val="Table"/>
        <w:tblW w:type="pct" w:w="5000"/>
        <w:tblLayout w:type="fixed"/>
        <w:tblLook w:firstRow="0" w:lastRow="0" w:firstColumn="0" w:lastColumn="0" w:noHBand="0" w:noVBand="0" w:val="0000"/>
      </w:tblPr>
      <w:tblGrid>
        <w:gridCol w:w="7920"/>
      </w:tblGrid>
      <w:tr>
        <w:tc>
          <w:tcPr/>
          <w:bookmarkStart w:id="31" w:name="tbl-iv"/>
          <w:p>
            <w:pPr>
              <w:jc w:val="center"/>
            </w:pPr>
            <w:pPr>
              <w:jc w:val="left"/>
              <w:spacing w:before="200"/>
              <w:pStyle w:val="ImageCaption"/>
            </w:pPr>
            <w:r>
              <w:t xml:space="preserve">Table 4: IV/2SLS Estimates: ERS instrumented by Shambaugh (2019) base-country peg</w:t>
            </w:r>
          </w:p>
          <w:p>
            <w:pPr>
              <w:pStyle w:val="Compact"/>
              <w:jc w:val="center"/>
            </w:pPr>
            <w:r>
              <w:t xml:space="preserve">IV/2SLS via fixest::feols. Instrument: Shambaugh (2004/2019) binary peg indicator. First-stage KP F = 174.43 (Stock-Yogo 5% threshold: 16.38). Cluster-robust SE in parentheses (by iso3c). *** p&lt;0.01, ** p&lt;0.05, * p&lt;0.10.</w:t>
            </w:r>
          </w:p>
          <w:tbl>
            <w:tblPr>
              <w:tblStyle w:val="Table"/>
              <w:tblW w:type="auto" w:w="0"/>
              <w:tblLook w:firstRow="1" w:lastRow="0" w:firstColumn="0" w:lastColumn="0" w:noHBand="0" w:noVBand="0" w:val="0020"/>
              <w:tblCaption w:val="IV/2SLS via fixest::feols. Instrument: Shambaugh (2004/2019) binary peg indicator. First-stage KP F = 174.43 (Stock-Yogo 5% threshold: 16.38). Cluster-robust SE in parentheses (by iso3c). *** p&lt;0.01, ** p&lt;0.05, * p&lt;0.10."/>
            </w:tblPr>
            <w:tblGrid>
              <w:gridCol w:w="2640"/>
              <w:gridCol w:w="2640"/>
              <w:gridCol w:w="2640"/>
            </w:tblGrid>
            <w:tr>
              <w:trPr>
                <w:tblHeader w:val="on"/>
              </w:trPr>
              <w:tc>
                <w:tcPr/>
                <w:p>
                  <w:pPr>
                    <w:pStyle w:val="Compact"/>
                    <w:jc w:val="left"/>
                    <w:jc w:val="center"/>
                  </w:pPr>
                  <w:r>
                    <w:t xml:space="preserve">Variable</w:t>
                  </w:r>
                </w:p>
              </w:tc>
              <w:tc>
                <w:tcPr/>
                <w:p>
                  <w:pPr>
                    <w:pStyle w:val="Compact"/>
                    <w:jc w:val="center"/>
                    <w:jc w:val="center"/>
                  </w:pPr>
                  <w:r>
                    <w:t xml:space="preserve">IV-FE (ln CPI)</w:t>
                  </w:r>
                </w:p>
              </w:tc>
              <w:tc>
                <w:tcPr/>
                <w:p>
                  <w:pPr>
                    <w:pStyle w:val="Compact"/>
                    <w:jc w:val="center"/>
                    <w:jc w:val="center"/>
                  </w:pPr>
                  <w:r>
                    <w:t xml:space="preserve">IV-LPM (chronic10)</w:t>
                  </w:r>
                </w:p>
              </w:tc>
            </w:tr>
            <w:tr>
              <w:tc>
                <w:tcPr/>
                <w:p>
                  <w:pPr>
                    <w:pStyle w:val="Compact"/>
                    <w:jc w:val="left"/>
                    <w:jc w:val="center"/>
                  </w:pPr>
                  <w:r>
                    <w:t xml:space="preserve">ERS (instrumented)</w:t>
                  </w:r>
                </w:p>
              </w:tc>
              <w:tc>
                <w:tcPr/>
                <w:p>
                  <w:pPr>
                    <w:pStyle w:val="Compact"/>
                    <w:jc w:val="center"/>
                    <w:jc w:val="center"/>
                  </w:pPr>
                  <w:r>
                    <w:t xml:space="preserve">−0.910***</w:t>
                  </w:r>
                </w:p>
              </w:tc>
              <w:tc>
                <w:tcPr/>
                <w:p>
                  <w:pPr>
                    <w:pStyle w:val="Compact"/>
                    <w:jc w:val="center"/>
                    <w:jc w:val="center"/>
                  </w:pPr>
                  <w:r>
                    <w:t xml:space="preserve">−0.173*</w:t>
                  </w:r>
                </w:p>
              </w:tc>
            </w:tr>
            <w:tr>
              <w:tc>
                <w:tcPr/>
                <w:p>
                  <w:pPr>
                    <w:pStyle w:val="Compact"/>
                    <w:jc w:val="left"/>
                    <w:jc w:val="center"/>
                  </w:pPr>
                  <w:r>
                    <w:t xml:space="preserve">(SE)</w:t>
                  </w:r>
                </w:p>
              </w:tc>
              <w:tc>
                <w:tcPr/>
                <w:p>
                  <w:pPr>
                    <w:pStyle w:val="Compact"/>
                    <w:jc w:val="center"/>
                    <w:jc w:val="center"/>
                  </w:pPr>
                  <w:r>
                    <w:t xml:space="preserve">(0.224)</w:t>
                  </w:r>
                </w:p>
              </w:tc>
              <w:tc>
                <w:tcPr/>
                <w:p>
                  <w:pPr>
                    <w:pStyle w:val="Compact"/>
                    <w:jc w:val="center"/>
                    <w:jc w:val="center"/>
                  </w:pPr>
                  <w:r>
                    <w:t xml:space="preserve">(0.086)</w:t>
                  </w:r>
                </w:p>
              </w:tc>
            </w:tr>
            <w:tr>
              <w:tc>
                <w:tcPr/>
                <w:p>
                  <w:pPr>
                    <w:pStyle w:val="Compact"/>
                    <w:jc w:val="left"/>
                    <w:jc w:val="center"/>
                  </w:pPr>
                  <w:r>
                    <w:t xml:space="preserve">MII</w:t>
                  </w:r>
                </w:p>
              </w:tc>
              <w:tc>
                <w:tcPr/>
                <w:p>
                  <w:pPr>
                    <w:pStyle w:val="Compact"/>
                    <w:jc w:val="center"/>
                    <w:jc w:val="center"/>
                  </w:pPr>
                  <w:r>
                    <w:t xml:space="preserve">−0.100</w:t>
                  </w:r>
                </w:p>
              </w:tc>
              <w:tc>
                <w:tcPr/>
                <w:p>
                  <w:pPr>
                    <w:pStyle w:val="Compact"/>
                    <w:jc w:val="center"/>
                    <w:jc w:val="center"/>
                  </w:pPr>
                  <w:r>
                    <w:t xml:space="preserve">0.047</w:t>
                  </w:r>
                </w:p>
              </w:tc>
            </w:tr>
            <w:tr>
              <w:tc>
                <w:tcPr/>
                <w:p>
                  <w:pPr>
                    <w:pStyle w:val="Compact"/>
                    <w:jc w:val="left"/>
                    <w:jc w:val="center"/>
                  </w:pPr>
                  <w:r>
                    <w:t xml:space="preserve">(SE)</w:t>
                  </w:r>
                </w:p>
              </w:tc>
              <w:tc>
                <w:tcPr/>
                <w:p>
                  <w:pPr>
                    <w:pStyle w:val="Compact"/>
                    <w:jc w:val="center"/>
                    <w:jc w:val="center"/>
                  </w:pPr>
                  <w:r>
                    <w:t xml:space="preserve">(0.145)</w:t>
                  </w:r>
                </w:p>
              </w:tc>
              <w:tc>
                <w:tcPr/>
                <w:p>
                  <w:pPr>
                    <w:pStyle w:val="Compact"/>
                    <w:jc w:val="center"/>
                    <w:jc w:val="center"/>
                  </w:pPr>
                  <w:r>
                    <w:t xml:space="preserve">(0.051)</w:t>
                  </w:r>
                </w:p>
              </w:tc>
            </w:tr>
            <w:tr>
              <w:tc>
                <w:tcPr/>
                <w:p>
                  <w:pPr>
                    <w:pStyle w:val="Compact"/>
                    <w:jc w:val="left"/>
                    <w:jc w:val="center"/>
                  </w:pPr>
                  <w:r>
                    <w:t xml:space="preserve">KAOPEN</w:t>
                  </w:r>
                </w:p>
              </w:tc>
              <w:tc>
                <w:tcPr/>
                <w:p>
                  <w:pPr>
                    <w:pStyle w:val="Compact"/>
                    <w:jc w:val="center"/>
                    <w:jc w:val="center"/>
                  </w:pPr>
                  <w:r>
                    <w:t xml:space="preserve">−0.721*</w:t>
                  </w:r>
                </w:p>
              </w:tc>
              <w:tc>
                <w:tcPr/>
                <w:p>
                  <w:pPr>
                    <w:pStyle w:val="Compact"/>
                    <w:jc w:val="center"/>
                    <w:jc w:val="center"/>
                  </w:pPr>
                  <w:r>
                    <w:t xml:space="preserve">−0.303***</w:t>
                  </w:r>
                </w:p>
              </w:tc>
            </w:tr>
            <w:tr>
              <w:tc>
                <w:tcPr/>
                <w:p>
                  <w:pPr>
                    <w:pStyle w:val="Compact"/>
                    <w:jc w:val="left"/>
                    <w:jc w:val="center"/>
                  </w:pPr>
                  <w:r>
                    <w:t xml:space="preserve">(SE)</w:t>
                  </w:r>
                </w:p>
              </w:tc>
              <w:tc>
                <w:tcPr/>
                <w:p>
                  <w:pPr>
                    <w:pStyle w:val="Compact"/>
                    <w:jc w:val="center"/>
                    <w:jc w:val="center"/>
                  </w:pPr>
                  <w:r>
                    <w:t xml:space="preserve">(0.292)</w:t>
                  </w:r>
                </w:p>
              </w:tc>
              <w:tc>
                <w:tcPr/>
                <w:p>
                  <w:pPr>
                    <w:pStyle w:val="Compact"/>
                    <w:jc w:val="center"/>
                    <w:jc w:val="center"/>
                  </w:pPr>
                  <w:r>
                    <w:t xml:space="preserve">(0.075)</w:t>
                  </w:r>
                </w:p>
              </w:tc>
            </w:tr>
            <w:tr>
              <w:tc>
                <w:tcPr/>
                <w:p>
                  <w:pPr>
                    <w:pStyle w:val="Compact"/>
                    <w:jc w:val="left"/>
                    <w:jc w:val="center"/>
                  </w:pPr>
                  <w:r>
                    <w:t xml:space="preserve">GDP growth</w:t>
                  </w:r>
                </w:p>
              </w:tc>
              <w:tc>
                <w:tcPr/>
                <w:p>
                  <w:pPr>
                    <w:pStyle w:val="Compact"/>
                    <w:jc w:val="center"/>
                    <w:jc w:val="center"/>
                  </w:pPr>
                  <w:r>
                    <w:t xml:space="preserve">−0.010*</w:t>
                  </w:r>
                </w:p>
              </w:tc>
              <w:tc>
                <w:tcPr/>
                <w:p>
                  <w:pPr>
                    <w:pStyle w:val="Compact"/>
                    <w:jc w:val="center"/>
                    <w:jc w:val="center"/>
                  </w:pPr>
                  <w:r>
                    <w:t xml:space="preserve">−0.001</w:t>
                  </w:r>
                </w:p>
              </w:tc>
            </w:tr>
            <w:tr>
              <w:tc>
                <w:tcPr/>
                <w:p>
                  <w:pPr>
                    <w:pStyle w:val="Compact"/>
                    <w:jc w:val="left"/>
                    <w:jc w:val="center"/>
                  </w:pPr>
                  <w:r>
                    <w:t xml:space="preserve">Trade openness</w:t>
                  </w:r>
                </w:p>
              </w:tc>
              <w:tc>
                <w:tcPr/>
                <w:p>
                  <w:pPr>
                    <w:pStyle w:val="Compact"/>
                    <w:jc w:val="center"/>
                    <w:jc w:val="center"/>
                  </w:pPr>
                  <w:r>
                    <w:t xml:space="preserve">0.005**</w:t>
                  </w:r>
                </w:p>
              </w:tc>
              <w:tc>
                <w:tcPr/>
                <w:p>
                  <w:pPr>
                    <w:pStyle w:val="Compact"/>
                    <w:jc w:val="center"/>
                    <w:jc w:val="center"/>
                  </w:pPr>
                  <w:r>
                    <w:t xml:space="preserve">0.001</w:t>
                  </w:r>
                </w:p>
              </w:tc>
            </w:tr>
            <w:tr>
              <w:tc>
                <w:tcPr/>
                <w:p>
                  <w:pPr>
                    <w:pStyle w:val="Compact"/>
                    <w:jc w:val="left"/>
                    <w:jc w:val="center"/>
                  </w:pPr>
                  <w:r>
                    <w:t xml:space="preserve">Broad money</w:t>
                  </w:r>
                </w:p>
              </w:tc>
              <w:tc>
                <w:tcPr/>
                <w:p>
                  <w:pPr>
                    <w:pStyle w:val="Compact"/>
                    <w:jc w:val="center"/>
                    <w:jc w:val="center"/>
                  </w:pPr>
                  <w:r>
                    <w:t xml:space="preserve">−0.003</w:t>
                  </w:r>
                </w:p>
              </w:tc>
              <w:tc>
                <w:tcPr/>
                <w:p>
                  <w:pPr>
                    <w:pStyle w:val="Compact"/>
                    <w:jc w:val="center"/>
                    <w:jc w:val="center"/>
                  </w:pPr>
                  <w:r>
                    <w:t xml:space="preserve">−0.001</w:t>
                  </w:r>
                </w:p>
              </w:tc>
            </w:tr>
            <w:tr>
              <w:tc>
                <w:tcPr/>
                <w:p>
                  <w:pPr>
                    <w:pStyle w:val="Compact"/>
                    <w:jc w:val="left"/>
                    <w:jc w:val="center"/>
                  </w:pPr>
                  <w:r>
                    <w:t xml:space="preserve">Country FE</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Year FE</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Instrument</w:t>
                  </w:r>
                </w:p>
              </w:tc>
              <w:tc>
                <w:tcPr/>
                <w:p>
                  <w:pPr>
                    <w:pStyle w:val="Compact"/>
                    <w:jc w:val="center"/>
                    <w:jc w:val="center"/>
                  </w:pPr>
                  <w:r>
                    <w:t xml:space="preserve">Shambaugh peg</w:t>
                  </w:r>
                </w:p>
              </w:tc>
              <w:tc>
                <w:tcPr/>
                <w:p>
                  <w:pPr>
                    <w:pStyle w:val="Compact"/>
                    <w:jc w:val="center"/>
                    <w:jc w:val="center"/>
                  </w:pPr>
                  <w:r>
                    <w:t xml:space="preserve">Shambaugh peg</w:t>
                  </w:r>
                </w:p>
              </w:tc>
            </w:tr>
            <w:tr>
              <w:tc>
                <w:tcPr/>
                <w:p>
                  <w:pPr>
                    <w:pStyle w:val="Compact"/>
                    <w:jc w:val="left"/>
                    <w:jc w:val="center"/>
                  </w:pPr>
                  <w:r>
                    <w:t xml:space="preserve">First-stage F (KP)</w:t>
                  </w:r>
                </w:p>
              </w:tc>
              <w:tc>
                <w:tcPr/>
                <w:p>
                  <w:pPr>
                    <w:pStyle w:val="Compact"/>
                    <w:jc w:val="center"/>
                    <w:jc w:val="center"/>
                  </w:pPr>
                  <w:r>
                    <w:t xml:space="preserve">174.43</w:t>
                  </w:r>
                </w:p>
              </w:tc>
              <w:tc>
                <w:tcPr/>
                <w:p>
                  <w:pPr>
                    <w:pStyle w:val="Compact"/>
                    <w:jc w:val="center"/>
                    <w:jc w:val="center"/>
                  </w:pPr>
                  <w:r>
                    <w:t xml:space="preserve">174.43</w:t>
                  </w:r>
                </w:p>
              </w:tc>
            </w:tr>
            <w:tr>
              <w:tc>
                <w:tcPr/>
                <w:p>
                  <w:pPr>
                    <w:pStyle w:val="Compact"/>
                    <w:jc w:val="left"/>
                    <w:jc w:val="center"/>
                  </w:pPr>
                  <w:r>
                    <w:t xml:space="preserve">N (obs)</w:t>
                  </w:r>
                </w:p>
              </w:tc>
              <w:tc>
                <w:tcPr/>
                <w:p>
                  <w:pPr>
                    <w:pStyle w:val="Compact"/>
                    <w:jc w:val="center"/>
                    <w:jc w:val="center"/>
                  </w:pPr>
                  <w:r>
                    <w:t xml:space="preserve">2,340</w:t>
                  </w:r>
                </w:p>
              </w:tc>
              <w:tc>
                <w:tcPr/>
                <w:p>
                  <w:pPr>
                    <w:pStyle w:val="Compact"/>
                    <w:jc w:val="center"/>
                    <w:jc w:val="center"/>
                  </w:pPr>
                  <w:r>
                    <w:t xml:space="preserve">2,340</w:t>
                  </w:r>
                </w:p>
              </w:tc>
            </w:tr>
            <w:tr>
              <w:tc>
                <w:tcPr/>
                <w:p>
                  <w:pPr>
                    <w:pStyle w:val="Compact"/>
                    <w:jc w:val="left"/>
                    <w:jc w:val="center"/>
                  </w:pPr>
                  <w:r>
                    <w:t xml:space="preserve">R²</w:t>
                  </w:r>
                </w:p>
              </w:tc>
              <w:tc>
                <w:tcPr/>
                <w:p>
                  <w:pPr>
                    <w:pStyle w:val="Compact"/>
                    <w:jc w:val="center"/>
                    <w:jc w:val="center"/>
                  </w:pPr>
                  <w:r>
                    <w:t xml:space="preserve">0.530</w:t>
                  </w:r>
                </w:p>
              </w:tc>
              <w:tc>
                <w:tcPr/>
                <w:p>
                  <w:pPr>
                    <w:pStyle w:val="Compact"/>
                    <w:jc w:val="center"/>
                    <w:jc w:val="center"/>
                  </w:pPr>
                  <w:r>
                    <w:t xml:space="preserve">0.432</w:t>
                  </w:r>
                </w:p>
              </w:tc>
            </w:tr>
          </w:tbl>
          <w:bookmarkEnd w:id="31"/>
          <w:p/>
        </w:tc>
      </w:tr>
    </w:tbl>
    <w:p>
      <w:pPr>
        <w:pStyle w:val="BodyText"/>
      </w:pPr>
      <w:r>
        <w:rPr>
          <w:b/>
          <w:bCs/>
        </w:rPr>
        <w:t xml:space="preserve">FE findings (Table 4).</w:t>
      </w:r>
      <w:r>
        <w:t xml:space="preserve"> </w:t>
      </w:r>
      <w:r>
        <w:t xml:space="preserve">In the log-CPI level regression, ERS (b = −0.795, 95% DK-CI: [−0.943, −0.647]) and KAOPEN (b = −0.711, 95% DK-CI: [−1.216, −0.206]) reduce inflation; MII is not statistically significant (b = −0.025, p = 0.869). The insignificance of MII in the level regression, contrasted with its strong significance in the binary Probit, reflects the non-linearity of the chronic-inflation mechanism: monetary independence matters for</w:t>
      </w:r>
      <w:r>
        <w:t xml:space="preserve"> </w:t>
      </w:r>
      <w:r>
        <w:rPr>
          <w:i/>
          <w:iCs/>
        </w:rPr>
        <w:t xml:space="preserve">crossing the chronic threshold</w:t>
      </w:r>
      <w:r>
        <w:t xml:space="preserve"> </w:t>
      </w:r>
      <w:r>
        <w:t xml:space="preserve">but has limited explanatory power for the full continuous distribution of CPI. Trade openness is associated with higher log-CPI (b = +0.005***), possibly reflecting demand-side inflationary pressure from import price transmission. The overall R² of 0.546 indicates that country and year fixed effects, together with trilemma indices and controls, explain 54.6% of CPI variation.</w:t>
      </w:r>
    </w:p>
    <w:bookmarkEnd w:id="32"/>
    <w:bookmarkStart w:id="33" w:name="economic-significance"/>
    <w:p>
      <w:pPr>
        <w:pStyle w:val="Heading2"/>
      </w:pPr>
      <w:r>
        <w:t xml:space="preserve">5.2 Economic Significance</w:t>
      </w:r>
    </w:p>
    <w:p>
      <w:pPr>
        <w:pStyle w:val="FirstParagraph"/>
      </w:pPr>
      <w:r>
        <w:t xml:space="preserve">A one-standard-deviation increase in MII (SD ≈ 0.173 in the merged panel) raises the chronic-inflation probability by</w:t>
      </w:r>
      <w:r>
        <w:t xml:space="preserve"> </w:t>
      </w:r>
      <w:r>
        <w:rPr>
          <w:b/>
          <w:bCs/>
        </w:rPr>
        <w:t xml:space="preserve">3.17 percentage points</w:t>
      </w:r>
      <w:r>
        <w:t xml:space="preserve"> </w:t>
      </w:r>
      <w:r>
        <w:t xml:space="preserve">from the sample base rate of 13.0%. To contextualise this magnitude: Türkiye spent 52.8% of sample years in chronic inflation; a shift from full monetary discretion (MII = 1.0) to the sample median (MII ≈ 0.65) implies an expected reduction of approximately 6.4 pp in the annual chronic probability — equivalent to roughly 2.2 fewer chronic episodes per 100 country-years at the global sample mean.</w:t>
      </w:r>
    </w:p>
    <w:p>
      <w:pPr>
        <w:pStyle w:val="BodyText"/>
      </w:pPr>
      <w:r>
        <w:t xml:space="preserve">Conversely, the ERS coefficient implies that moving from a free float (ERS = 0) to a full peg (ERS = 1) reduces chronic-inflation probability by the full APE of 19.8 pp — the single largest lever available within the trilemma. For Sub-Saharan Africa, where the ERS APE is −45.1 pp (b = −2.683***), exchange-rate anchoring has quantitatively larger effects than in the global sample, consistent with historically higher inflation and weaker monetary institutions in that region.</w:t>
      </w:r>
    </w:p>
    <w:bookmarkEnd w:id="33"/>
    <w:bookmarkEnd w:id="34"/>
    <w:bookmarkStart w:id="39" w:name="robustness"/>
    <w:p>
      <w:pPr>
        <w:pStyle w:val="Heading1"/>
      </w:pPr>
      <w:r>
        <w:t xml:space="preserve">6. Robustness</w:t>
      </w:r>
    </w:p>
    <w:bookmarkStart w:id="35" w:name="alternative-thresholds"/>
    <w:p>
      <w:pPr>
        <w:pStyle w:val="Heading2"/>
      </w:pPr>
      <w:r>
        <w:t xml:space="preserve">6.1 Alternative Thresholds</w:t>
      </w:r>
    </w:p>
    <w:p>
      <w:pPr>
        <w:pStyle w:val="FirstParagraph"/>
      </w:pPr>
      <w:r>
        <w:t xml:space="preserve">Re-estimating Model 2 with 7% and 15% chronic-inflation thresholds confirms all three main signs: MII+ (</w:t>
      </w:r>
      <m:oMath>
        <m:r>
          <m:t>p</m:t>
        </m:r>
        <m:r>
          <m:rPr>
            <m:sty m:val="p"/>
          </m:rPr>
          <m:t>&lt;</m:t>
        </m:r>
        <m:r>
          <m:t>0.01</m:t>
        </m:r>
      </m:oMath>
      <w:r>
        <w:t xml:space="preserve">), ERS− (</w:t>
      </w:r>
      <m:oMath>
        <m:r>
          <m:t>p</m:t>
        </m:r>
        <m:r>
          <m:rPr>
            <m:sty m:val="p"/>
          </m:rPr>
          <m:t>&lt;</m:t>
        </m:r>
        <m:r>
          <m:t>0.001</m:t>
        </m:r>
      </m:oMath>
      <w:r>
        <w:t xml:space="preserve">), KAOPEN− (significant at 15% threshold; marginal at 7%). The trilemma constraint therefore operates independently of where the</w:t>
      </w:r>
      <w:r>
        <w:t xml:space="preserve"> </w:t>
      </w:r>
      <w:r>
        <w:t xml:space="preserve">“chronic”</w:t>
      </w:r>
      <w:r>
        <w:t xml:space="preserve"> </w:t>
      </w:r>
      <w:r>
        <w:t xml:space="preserve">bar is set.</w:t>
      </w:r>
    </w:p>
    <w:bookmarkEnd w:id="35"/>
    <w:bookmarkStart w:id="36" w:name="sub-period-analysis"/>
    <w:p>
      <w:pPr>
        <w:pStyle w:val="Heading2"/>
      </w:pPr>
      <w:r>
        <w:t xml:space="preserve">6.2 Sub-Period Analysis</w:t>
      </w:r>
    </w:p>
    <w:p>
      <w:pPr>
        <w:pStyle w:val="FirstParagraph"/>
      </w:pPr>
      <w:r>
        <w:t xml:space="preserve">Table 6 reports Probit coefficients across three sub-periods.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Period</w:t>
            </w:r>
          </w:p>
        </w:tc>
        <w:tc>
          <w:tcPr/>
          <w:p>
            <w:pPr>
              <w:pStyle w:val="Compact"/>
            </w:pPr>
            <w:r>
              <w:t xml:space="preserve">MII</w:t>
            </w:r>
          </w:p>
        </w:tc>
        <w:tc>
          <w:tcPr/>
          <w:p>
            <w:pPr>
              <w:pStyle w:val="Compact"/>
            </w:pPr>
            <w:r>
              <w:t xml:space="preserve">ERS</w:t>
            </w:r>
          </w:p>
        </w:tc>
        <w:tc>
          <w:tcPr/>
          <w:p>
            <w:pPr>
              <w:pStyle w:val="Compact"/>
            </w:pPr>
            <w:r>
              <w:t xml:space="preserve">KAOPEN</w:t>
            </w:r>
          </w:p>
        </w:tc>
        <w:tc>
          <w:tcPr/>
          <w:p>
            <w:pPr>
              <w:pStyle w:val="Compact"/>
              <w:jc w:val="center"/>
            </w:pPr>
            <w:r>
              <w:t xml:space="preserve">MII APE [pp]</w:t>
            </w:r>
          </w:p>
        </w:tc>
        <w:tc>
          <w:tcPr/>
          <w:p>
            <w:pPr>
              <w:pStyle w:val="Compact"/>
            </w:pPr>
            <w:r>
              <w:t xml:space="preserve">N</w:t>
            </w:r>
          </w:p>
        </w:tc>
      </w:tr>
      <w:tr>
        <w:tc>
          <w:tcPr/>
          <w:p>
            <w:pPr>
              <w:pStyle w:val="Compact"/>
            </w:pPr>
            <w:r>
              <w:t xml:space="preserve">1985–2000</w:t>
            </w:r>
          </w:p>
        </w:tc>
        <w:tc>
          <w:tcPr/>
          <w:p>
            <w:pPr>
              <w:pStyle w:val="Compact"/>
            </w:pPr>
            <w:r>
              <w:t xml:space="preserve">1.841***</w:t>
            </w:r>
          </w:p>
        </w:tc>
        <w:tc>
          <w:tcPr/>
          <w:p>
            <w:pPr>
              <w:pStyle w:val="Compact"/>
            </w:pPr>
            <w:r>
              <w:t xml:space="preserve">−1.421***</w:t>
            </w:r>
          </w:p>
        </w:tc>
        <w:tc>
          <w:tcPr/>
          <w:p>
            <w:pPr>
              <w:pStyle w:val="Compact"/>
            </w:pPr>
            <w:r>
              <w:t xml:space="preserve">−0.689***</w:t>
            </w:r>
          </w:p>
        </w:tc>
        <w:tc>
          <w:tcPr/>
          <w:p>
            <w:pPr>
              <w:pStyle w:val="Compact"/>
              <w:jc w:val="center"/>
            </w:pPr>
            <w:r>
              <w:t xml:space="preserve">+30.9</w:t>
            </w:r>
          </w:p>
        </w:tc>
        <w:tc>
          <w:tcPr/>
          <w:p>
            <w:pPr>
              <w:pStyle w:val="Compact"/>
            </w:pPr>
            <w:r>
              <w:t xml:space="preserve">851</w:t>
            </w:r>
          </w:p>
        </w:tc>
      </w:tr>
      <w:tr>
        <w:tc>
          <w:tcPr/>
          <w:p>
            <w:pPr>
              <w:pStyle w:val="Compact"/>
            </w:pPr>
            <w:r>
              <w:t xml:space="preserve">2001–2010</w:t>
            </w:r>
          </w:p>
        </w:tc>
        <w:tc>
          <w:tcPr/>
          <w:p>
            <w:pPr>
              <w:pStyle w:val="Compact"/>
            </w:pPr>
            <w:r>
              <w:t xml:space="preserve">1.108***</w:t>
            </w:r>
          </w:p>
        </w:tc>
        <w:tc>
          <w:tcPr/>
          <w:p>
            <w:pPr>
              <w:pStyle w:val="Compact"/>
            </w:pPr>
            <w:r>
              <w:t xml:space="preserve">−0.412 (ns)</w:t>
            </w:r>
          </w:p>
        </w:tc>
        <w:tc>
          <w:tcPr/>
          <w:p>
            <w:pPr>
              <w:pStyle w:val="Compact"/>
            </w:pPr>
            <w:r>
              <w:t xml:space="preserve">−0.203 (ns)</w:t>
            </w:r>
          </w:p>
        </w:tc>
        <w:tc>
          <w:tcPr/>
          <w:p>
            <w:pPr>
              <w:pStyle w:val="Compact"/>
              <w:jc w:val="center"/>
            </w:pPr>
            <w:r>
              <w:t xml:space="preserve">+18.6</w:t>
            </w:r>
          </w:p>
        </w:tc>
        <w:tc>
          <w:tcPr/>
          <w:p>
            <w:pPr>
              <w:pStyle w:val="Compact"/>
            </w:pPr>
            <w:r>
              <w:t xml:space="preserve">814</w:t>
            </w:r>
          </w:p>
        </w:tc>
      </w:tr>
      <w:tr>
        <w:tc>
          <w:tcPr/>
          <w:p>
            <w:pPr>
              <w:pStyle w:val="Compact"/>
            </w:pPr>
            <w:r>
              <w:t xml:space="preserve">2011–2020</w:t>
            </w:r>
          </w:p>
        </w:tc>
        <w:tc>
          <w:tcPr/>
          <w:p>
            <w:pPr>
              <w:pStyle w:val="Compact"/>
            </w:pPr>
            <w:r>
              <w:t xml:space="preserve">0.321 (ns)</w:t>
            </w:r>
          </w:p>
        </w:tc>
        <w:tc>
          <w:tcPr/>
          <w:p>
            <w:pPr>
              <w:pStyle w:val="Compact"/>
            </w:pPr>
            <w:r>
              <w:t xml:space="preserve">−1.945***</w:t>
            </w:r>
          </w:p>
        </w:tc>
        <w:tc>
          <w:tcPr/>
          <w:p>
            <w:pPr>
              <w:pStyle w:val="Compact"/>
            </w:pPr>
            <w:r>
              <w:t xml:space="preserve">−0.853**</w:t>
            </w:r>
          </w:p>
        </w:tc>
        <w:tc>
          <w:tcPr/>
          <w:p>
            <w:pPr>
              <w:pStyle w:val="Compact"/>
              <w:jc w:val="center"/>
            </w:pPr>
            <w:r>
              <w:t xml:space="preserve">— (ns)</w:t>
            </w:r>
          </w:p>
        </w:tc>
        <w:tc>
          <w:tcPr/>
          <w:p>
            <w:pPr>
              <w:pStyle w:val="Compact"/>
            </w:pPr>
            <w:r>
              <w:t xml:space="preserve">840</w:t>
            </w:r>
          </w:p>
        </w:tc>
      </w:tr>
    </w:tbl>
    <w:p>
      <w:pPr>
        <w:pStyle w:val="BodyText"/>
      </w:pPr>
      <w:r>
        <w:rPr>
          <w:i/>
          <w:iCs/>
        </w:rPr>
        <w:t xml:space="preserve">Note:</w:t>
      </w:r>
      <w:r>
        <w:t xml:space="preserve"> </w:t>
      </w:r>
      <w:r>
        <w:t xml:space="preserve">MII APE = mean pdf × coefficient × 100, evaluated at sub-period sample mean (mean pdf ≈ 0.168). APE reported as — when coefficient is not significant at p &lt; 0.10.</w:t>
      </w:r>
    </w:p>
    <w:p>
      <w:pPr>
        <w:pStyle w:val="BodyText"/>
      </w:pPr>
      <w:r>
        <w:t xml:space="preserve">The Barro-Gordon MII effect is strongest in 1985–2000 — the era of currency crises and high global inflation — and weakens post-2001, consistent with global disinflation compressing the scope for discretionary inflation. ERS recovers as the dominant channel in 2011–2020, when post-GFC monetary accommodation and capital-flow surges increased the value of exchange-rate commitment in containing renewed price pressure.</w:t>
      </w:r>
    </w:p>
    <w:bookmarkEnd w:id="36"/>
    <w:bookmarkStart w:id="37" w:name="regional-subsamples"/>
    <w:p>
      <w:pPr>
        <w:pStyle w:val="Heading2"/>
      </w:pPr>
      <w:r>
        <w:t xml:space="preserve">6.3 Regional Subsamples</w:t>
      </w:r>
    </w:p>
    <w:p>
      <w:pPr>
        <w:pStyle w:val="FirstParagraph"/>
      </w:pPr>
      <w:r>
        <w:t xml:space="preserve">All regional subsamples except Sub-Saharan Africa (SSA,</w:t>
      </w:r>
      <w:r>
        <w:t xml:space="preserve"> </w:t>
      </w:r>
      <m:oMath>
        <m:sSub>
          <m:e>
            <m:r>
              <m:t>N</m:t>
            </m:r>
          </m:e>
          <m:sub>
            <m:r>
              <m:t>c</m:t>
            </m:r>
            <m:r>
              <m:t>c</m:t>
            </m:r>
          </m:sub>
        </m:sSub>
        <m:r>
          <m:rPr>
            <m:sty m:val="p"/>
          </m:rPr>
          <m:t>=</m:t>
        </m:r>
        <m:r>
          <m:t>41</m:t>
        </m:r>
      </m:oMath>
      <w:r>
        <w:t xml:space="preserve">) have fewer than 30 country clusters. Webb (2023) wild cluster bootstrap (6-point weights for</w:t>
      </w:r>
      <w:r>
        <w:t xml:space="preserve"> </w:t>
      </w:r>
      <m:oMath>
        <m:sSub>
          <m:e>
            <m:r>
              <m:t>N</m:t>
            </m:r>
          </m:e>
          <m:sub>
            <m:r>
              <m:t>c</m:t>
            </m:r>
            <m:r>
              <m:t>c</m:t>
            </m:r>
          </m:sub>
        </m:sSub>
        <m:r>
          <m:rPr>
            <m:sty m:val="p"/>
          </m:rPr>
          <m:t>≤</m:t>
        </m:r>
        <m:r>
          <m:t>10</m:t>
        </m:r>
      </m:oMath>
      <w:r>
        <w:t xml:space="preserve">; Rademacher for</w:t>
      </w:r>
      <w:r>
        <w:t xml:space="preserve"> </w:t>
      </w:r>
      <m:oMath>
        <m:sSub>
          <m:e>
            <m:r>
              <m:t>N</m:t>
            </m:r>
          </m:e>
          <m:sub>
            <m:r>
              <m:t>c</m:t>
            </m:r>
            <m:r>
              <m:t>c</m:t>
            </m:r>
          </m:sub>
        </m:sSub>
        <m:r>
          <m:rPr>
            <m:sty m:val="p"/>
          </m:rPr>
          <m:t>&gt;</m:t>
        </m:r>
        <m:r>
          <m:t>10</m:t>
        </m:r>
      </m:oMath>
      <w:r>
        <w:t xml:space="preserve">;</w:t>
      </w:r>
      <w:r>
        <w:t xml:space="preserve"> </w:t>
      </w:r>
      <m:oMath>
        <m:r>
          <m:t>B</m:t>
        </m:r>
        <m:r>
          <m:rPr>
            <m:sty m:val="p"/>
          </m:rPr>
          <m:t>=</m:t>
        </m:r>
        <m:r>
          <m:t>9</m:t>
        </m:r>
        <m:r>
          <m:rPr>
            <m:sty m:val="p"/>
          </m:rPr>
          <m:t>,</m:t>
        </m:r>
        <m:r>
          <m:t>999</m:t>
        </m:r>
      </m:oMath>
      <w:r>
        <w:t xml:space="preserve">) is applied to all non-SSA subsamples; SSA uses standard clustered SE. LPM with country FE demeaning is the base model.</w:t>
      </w:r>
    </w:p>
    <w:tbl>
      <w:tblPr>
        <w:tblStyle w:val="Table"/>
        <w:tblW w:type="pct" w:w="5000"/>
        <w:tblLayout w:type="fixed"/>
        <w:tblLook w:firstRow="1" w:lastRow="0" w:firstColumn="0" w:lastColumn="0" w:noHBand="0" w:noVBand="0" w:val="0020"/>
      </w:tblPr>
      <w:tblGrid>
        <w:gridCol w:w="1152"/>
        <w:gridCol w:w="720"/>
        <w:gridCol w:w="1007"/>
        <w:gridCol w:w="864"/>
        <w:gridCol w:w="1007"/>
        <w:gridCol w:w="864"/>
        <w:gridCol w:w="1152"/>
        <w:gridCol w:w="1152"/>
      </w:tblGrid>
      <w:tr>
        <w:trPr>
          <w:tblHeader w:val="on"/>
        </w:trPr>
        <w:tc>
          <w:tcPr/>
          <w:p>
            <w:pPr>
              <w:pStyle w:val="Compact"/>
            </w:pPr>
            <w:r>
              <w:t xml:space="preserve">Region</w:t>
            </w:r>
          </w:p>
        </w:tc>
        <w:tc>
          <w:tcPr/>
          <w:p>
            <w:pPr>
              <w:pStyle w:val="Compact"/>
              <w:jc w:val="center"/>
            </w:pPr>
            <m:oMath>
              <m:sSub>
                <m:e>
                  <m:r>
                    <m:t>N</m:t>
                  </m:r>
                </m:e>
                <m:sub>
                  <m:r>
                    <m:t>c</m:t>
                  </m:r>
                  <m:r>
                    <m:t>c</m:t>
                  </m:r>
                </m:sub>
              </m:sSub>
            </m:oMath>
          </w:p>
        </w:tc>
        <w:tc>
          <w:tcPr/>
          <w:p>
            <w:pPr>
              <w:pStyle w:val="Compact"/>
            </w:pPr>
            <w:r>
              <w:t xml:space="preserve">MII coef.</w:t>
            </w:r>
          </w:p>
        </w:tc>
        <w:tc>
          <w:tcPr/>
          <w:p>
            <w:pPr>
              <w:pStyle w:val="Compact"/>
            </w:pPr>
            <w:r>
              <w:t xml:space="preserve">MII boot.</w:t>
            </w:r>
            <w:r>
              <w:t xml:space="preserve"> </w:t>
            </w:r>
            <m:oMath>
              <m:r>
                <m:t>p</m:t>
              </m:r>
            </m:oMath>
          </w:p>
        </w:tc>
        <w:tc>
          <w:tcPr/>
          <w:p>
            <w:pPr>
              <w:pStyle w:val="Compact"/>
            </w:pPr>
            <w:r>
              <w:t xml:space="preserve">ERS coef.</w:t>
            </w:r>
          </w:p>
        </w:tc>
        <w:tc>
          <w:tcPr/>
          <w:p>
            <w:pPr>
              <w:pStyle w:val="Compact"/>
            </w:pPr>
            <w:r>
              <w:t xml:space="preserve">ERS boot.</w:t>
            </w:r>
            <w:r>
              <w:t xml:space="preserve"> </w:t>
            </w:r>
            <m:oMath>
              <m:r>
                <m:t>p</m:t>
              </m:r>
            </m:oMath>
          </w:p>
        </w:tc>
        <w:tc>
          <w:tcPr/>
          <w:p>
            <w:pPr>
              <w:pStyle w:val="Compact"/>
            </w:pPr>
            <w:r>
              <w:t xml:space="preserve">KAOPEN coef.</w:t>
            </w:r>
          </w:p>
        </w:tc>
        <w:tc>
          <w:tcPr/>
          <w:p>
            <w:pPr>
              <w:pStyle w:val="Compact"/>
            </w:pPr>
            <w:r>
              <w:t xml:space="preserve">Bootstrap method</w:t>
            </w:r>
          </w:p>
        </w:tc>
      </w:tr>
      <w:tr>
        <w:tc>
          <w:tcPr/>
          <w:p>
            <w:pPr>
              <w:pStyle w:val="Compact"/>
            </w:pPr>
            <w:r>
              <w:t xml:space="preserve">Sub-Saharan Africa</w:t>
            </w:r>
          </w:p>
        </w:tc>
        <w:tc>
          <w:tcPr/>
          <w:p>
            <w:pPr>
              <w:pStyle w:val="Compact"/>
              <w:jc w:val="center"/>
            </w:pPr>
            <w:r>
              <w:t xml:space="preserve">41</w:t>
            </w:r>
          </w:p>
        </w:tc>
        <w:tc>
          <w:tcPr/>
          <w:p>
            <w:pPr>
              <w:pStyle w:val="Compact"/>
            </w:pPr>
            <w:r>
              <w:t xml:space="preserve">0.976**</w:t>
            </w:r>
          </w:p>
        </w:tc>
        <w:tc>
          <w:tcPr/>
          <w:p>
            <w:pPr>
              <w:pStyle w:val="Compact"/>
            </w:pPr>
            <w:r>
              <w:t xml:space="preserve">0.032</w:t>
            </w:r>
          </w:p>
        </w:tc>
        <w:tc>
          <w:tcPr/>
          <w:p>
            <w:pPr>
              <w:pStyle w:val="Compact"/>
            </w:pPr>
            <w:r>
              <w:t xml:space="preserve">−2.683***</w:t>
            </w:r>
          </w:p>
        </w:tc>
        <w:tc>
          <w:tcPr/>
          <w:p>
            <w:pPr>
              <w:pStyle w:val="Compact"/>
            </w:pPr>
            <w:r>
              <w:t xml:space="preserve">0.000</w:t>
            </w:r>
          </w:p>
        </w:tc>
        <w:tc>
          <w:tcPr/>
          <w:p>
            <w:pPr>
              <w:pStyle w:val="Compact"/>
            </w:pPr>
            <w:r>
              <w:t xml:space="preserve">−1.012***</w:t>
            </w:r>
          </w:p>
        </w:tc>
        <w:tc>
          <w:tcPr/>
          <w:p>
            <w:pPr>
              <w:pStyle w:val="Compact"/>
            </w:pPr>
            <w:r>
              <w:t xml:space="preserve">Clustered SE</w:t>
            </w:r>
          </w:p>
        </w:tc>
      </w:tr>
      <w:tr>
        <w:tc>
          <w:tcPr/>
          <w:p>
            <w:pPr>
              <w:pStyle w:val="Compact"/>
            </w:pPr>
            <w:r>
              <w:t xml:space="preserve">East Asia &amp; Pacific</w:t>
            </w:r>
          </w:p>
        </w:tc>
        <w:tc>
          <w:tcPr/>
          <w:p>
            <w:pPr>
              <w:pStyle w:val="Compact"/>
              <w:jc w:val="center"/>
            </w:pPr>
            <w:r>
              <w:t xml:space="preserve">17</w:t>
            </w:r>
          </w:p>
        </w:tc>
        <w:tc>
          <w:tcPr/>
          <w:p>
            <w:pPr>
              <w:pStyle w:val="Compact"/>
            </w:pPr>
            <w:r>
              <w:t xml:space="preserve">0.067 ns</w:t>
            </w:r>
          </w:p>
        </w:tc>
        <w:tc>
          <w:tcPr/>
          <w:p>
            <w:pPr>
              <w:pStyle w:val="Compact"/>
            </w:pPr>
            <w:r>
              <w:t xml:space="preserve">0.611</w:t>
            </w:r>
          </w:p>
        </w:tc>
        <w:tc>
          <w:tcPr/>
          <w:p>
            <w:pPr>
              <w:pStyle w:val="Compact"/>
            </w:pPr>
            <w:r>
              <w:t xml:space="preserve">−0.121**</w:t>
            </w:r>
          </w:p>
        </w:tc>
        <w:tc>
          <w:tcPr/>
          <w:p>
            <w:pPr>
              <w:pStyle w:val="Compact"/>
            </w:pPr>
            <w:r>
              <w:t xml:space="preserve">0.048</w:t>
            </w:r>
          </w:p>
        </w:tc>
        <w:tc>
          <w:tcPr/>
          <w:p>
            <w:pPr>
              <w:pStyle w:val="Compact"/>
            </w:pPr>
            <w:r>
              <w:t xml:space="preserve">0.011 ns</w:t>
            </w:r>
          </w:p>
        </w:tc>
        <w:tc>
          <w:tcPr/>
          <w:p>
            <w:pPr>
              <w:pStyle w:val="Compact"/>
            </w:pPr>
            <w:r>
              <w:t xml:space="preserve">Rademacher,</w:t>
            </w:r>
            <w:r>
              <w:t xml:space="preserve"> </w:t>
            </w:r>
            <m:oMath>
              <m:r>
                <m:t>B</m:t>
              </m:r>
              <m:r>
                <m:rPr>
                  <m:sty m:val="p"/>
                </m:rPr>
                <m:t>=</m:t>
              </m:r>
              <m:r>
                <m:t>9999</m:t>
              </m:r>
            </m:oMath>
          </w:p>
        </w:tc>
      </w:tr>
      <w:tr>
        <w:tc>
          <w:tcPr/>
          <w:p>
            <w:pPr>
              <w:pStyle w:val="Compact"/>
            </w:pPr>
            <w:r>
              <w:t xml:space="preserve">Latin America &amp; Caribbean</w:t>
            </w:r>
          </w:p>
        </w:tc>
        <w:tc>
          <w:tcPr/>
          <w:p>
            <w:pPr>
              <w:pStyle w:val="Compact"/>
              <w:jc w:val="center"/>
            </w:pPr>
            <w:r>
              <w:t xml:space="preserve">21</w:t>
            </w:r>
          </w:p>
        </w:tc>
        <w:tc>
          <w:tcPr/>
          <w:p>
            <w:pPr>
              <w:pStyle w:val="Compact"/>
            </w:pPr>
            <w:r>
              <w:t xml:space="preserve">0.086 ns</w:t>
            </w:r>
          </w:p>
        </w:tc>
        <w:tc>
          <w:tcPr/>
          <w:p>
            <w:pPr>
              <w:pStyle w:val="Compact"/>
            </w:pPr>
            <w:r>
              <w:t xml:space="preserve">0.543</w:t>
            </w:r>
          </w:p>
        </w:tc>
        <w:tc>
          <w:tcPr/>
          <w:p>
            <w:pPr>
              <w:pStyle w:val="Compact"/>
            </w:pPr>
            <w:r>
              <w:t xml:space="preserve">0.077 ns</w:t>
            </w:r>
          </w:p>
        </w:tc>
        <w:tc>
          <w:tcPr/>
          <w:p>
            <w:pPr>
              <w:pStyle w:val="Compact"/>
            </w:pPr>
            <w:r>
              <w:t xml:space="preserve">0.512</w:t>
            </w:r>
          </w:p>
        </w:tc>
        <w:tc>
          <w:tcPr/>
          <w:p>
            <w:pPr>
              <w:pStyle w:val="Compact"/>
            </w:pPr>
            <w:r>
              <w:t xml:space="preserve">−0.206 ns</w:t>
            </w:r>
          </w:p>
        </w:tc>
        <w:tc>
          <w:tcPr/>
          <w:p>
            <w:pPr>
              <w:pStyle w:val="Compact"/>
            </w:pPr>
            <w:r>
              <w:t xml:space="preserve">Rademacher,</w:t>
            </w:r>
            <w:r>
              <w:t xml:space="preserve"> </w:t>
            </w:r>
            <m:oMath>
              <m:r>
                <m:t>B</m:t>
              </m:r>
              <m:r>
                <m:rPr>
                  <m:sty m:val="p"/>
                </m:rPr>
                <m:t>=</m:t>
              </m:r>
              <m:r>
                <m:t>9999</m:t>
              </m:r>
            </m:oMath>
          </w:p>
        </w:tc>
      </w:tr>
      <w:tr>
        <w:tc>
          <w:tcPr/>
          <w:p>
            <w:pPr>
              <w:pStyle w:val="Compact"/>
            </w:pPr>
            <w:r>
              <w:t xml:space="preserve">Europe &amp; Central Asia</w:t>
            </w:r>
          </w:p>
        </w:tc>
        <w:tc>
          <w:tcPr/>
          <w:p>
            <w:pPr>
              <w:pStyle w:val="Compact"/>
              <w:jc w:val="center"/>
            </w:pPr>
            <w:r>
              <w:t xml:space="preserve">11</w:t>
            </w:r>
          </w:p>
        </w:tc>
        <w:tc>
          <w:tcPr/>
          <w:p>
            <w:pPr>
              <w:pStyle w:val="Compact"/>
            </w:pPr>
            <w:r>
              <w:t xml:space="preserve">−0.041 ns</w:t>
            </w:r>
          </w:p>
        </w:tc>
        <w:tc>
          <w:tcPr/>
          <w:p>
            <w:pPr>
              <w:pStyle w:val="Compact"/>
            </w:pPr>
            <w:r>
              <w:t xml:space="preserve">0.729</w:t>
            </w:r>
          </w:p>
        </w:tc>
        <w:tc>
          <w:tcPr/>
          <w:p>
            <w:pPr>
              <w:pStyle w:val="Compact"/>
            </w:pPr>
            <w:r>
              <w:t xml:space="preserve">0.093 ns</w:t>
            </w:r>
          </w:p>
        </w:tc>
        <w:tc>
          <w:tcPr/>
          <w:p>
            <w:pPr>
              <w:pStyle w:val="Compact"/>
            </w:pPr>
            <w:r>
              <w:t xml:space="preserve">0.601</w:t>
            </w:r>
          </w:p>
        </w:tc>
        <w:tc>
          <w:tcPr/>
          <w:p>
            <w:pPr>
              <w:pStyle w:val="Compact"/>
            </w:pPr>
            <w:r>
              <w:t xml:space="preserve">−0.312 ns</w:t>
            </w:r>
          </w:p>
        </w:tc>
        <w:tc>
          <w:tcPr/>
          <w:p>
            <w:pPr>
              <w:pStyle w:val="Compact"/>
            </w:pPr>
            <w:r>
              <w:t xml:space="preserve">Rademacher,</w:t>
            </w:r>
            <w:r>
              <w:t xml:space="preserve"> </w:t>
            </w:r>
            <m:oMath>
              <m:r>
                <m:t>B</m:t>
              </m:r>
              <m:r>
                <m:rPr>
                  <m:sty m:val="p"/>
                </m:rPr>
                <m:t>=</m:t>
              </m:r>
              <m:r>
                <m:t>9999</m:t>
              </m:r>
            </m:oMath>
          </w:p>
        </w:tc>
      </w:tr>
      <w:tr>
        <w:tc>
          <w:tcPr/>
          <w:p>
            <w:pPr>
              <w:pStyle w:val="Compact"/>
            </w:pPr>
            <w:r>
              <w:t xml:space="preserve">Middle East &amp; North Africa</w:t>
            </w:r>
          </w:p>
        </w:tc>
        <w:tc>
          <w:tcPr/>
          <w:p>
            <w:pPr>
              <w:pStyle w:val="Compact"/>
              <w:jc w:val="center"/>
            </w:pPr>
            <w:r>
              <w:t xml:space="preserve">9</w:t>
            </w:r>
          </w:p>
        </w:tc>
        <w:tc>
          <w:tcPr/>
          <w:p>
            <w:pPr>
              <w:pStyle w:val="Compact"/>
            </w:pPr>
            <w:r>
              <w:t xml:space="preserve">−0.001 ns</w:t>
            </w:r>
          </w:p>
        </w:tc>
        <w:tc>
          <w:tcPr/>
          <w:p>
            <w:pPr>
              <w:pStyle w:val="Compact"/>
            </w:pPr>
            <w:r>
              <w:t xml:space="preserve">0.984</w:t>
            </w:r>
          </w:p>
        </w:tc>
        <w:tc>
          <w:tcPr/>
          <w:p>
            <w:pPr>
              <w:pStyle w:val="Compact"/>
            </w:pPr>
            <w:r>
              <w:t xml:space="preserve">−0.081 ns</w:t>
            </w:r>
          </w:p>
        </w:tc>
        <w:tc>
          <w:tcPr/>
          <w:p>
            <w:pPr>
              <w:pStyle w:val="Compact"/>
            </w:pPr>
            <w:r>
              <w:t xml:space="preserve">0.401</w:t>
            </w:r>
          </w:p>
        </w:tc>
        <w:tc>
          <w:tcPr/>
          <w:p>
            <w:pPr>
              <w:pStyle w:val="Compact"/>
            </w:pPr>
            <w:r>
              <w:t xml:space="preserve">−0.232 ns</w:t>
            </w:r>
          </w:p>
        </w:tc>
        <w:tc>
          <w:tcPr/>
          <w:p>
            <w:pPr>
              <w:pStyle w:val="Compact"/>
            </w:pPr>
            <w:r>
              <w:t xml:space="preserve">Webb 6-pt,</w:t>
            </w:r>
            <w:r>
              <w:t xml:space="preserve"> </w:t>
            </w:r>
            <m:oMath>
              <m:r>
                <m:t>B</m:t>
              </m:r>
              <m:r>
                <m:rPr>
                  <m:sty m:val="p"/>
                </m:rPr>
                <m:t>=</m:t>
              </m:r>
              <m:r>
                <m:t>9999</m:t>
              </m:r>
            </m:oMath>
          </w:p>
        </w:tc>
      </w:tr>
      <w:tr>
        <w:tc>
          <w:tcPr/>
          <w:p>
            <w:pPr>
              <w:pStyle w:val="Compact"/>
            </w:pPr>
            <w:r>
              <w:t xml:space="preserve">South Asia</w:t>
            </w:r>
          </w:p>
        </w:tc>
        <w:tc>
          <w:tcPr/>
          <w:p>
            <w:pPr>
              <w:pStyle w:val="Compact"/>
              <w:jc w:val="center"/>
            </w:pPr>
            <w:r>
              <w:t xml:space="preserve">7</w:t>
            </w:r>
          </w:p>
        </w:tc>
        <w:tc>
          <w:tcPr/>
          <w:p>
            <w:pPr>
              <w:pStyle w:val="Compact"/>
            </w:pPr>
            <w:r>
              <w:t xml:space="preserve">0.354 ns</w:t>
            </w:r>
          </w:p>
        </w:tc>
        <w:tc>
          <w:tcPr/>
          <w:p>
            <w:pPr>
              <w:pStyle w:val="Compact"/>
            </w:pPr>
            <w:r>
              <w:t xml:space="preserve">0.218</w:t>
            </w:r>
          </w:p>
        </w:tc>
        <w:tc>
          <w:tcPr/>
          <w:p>
            <w:pPr>
              <w:pStyle w:val="Compact"/>
            </w:pPr>
            <w:r>
              <w:t xml:space="preserve">0.077 ns</w:t>
            </w:r>
          </w:p>
        </w:tc>
        <w:tc>
          <w:tcPr/>
          <w:p>
            <w:pPr>
              <w:pStyle w:val="Compact"/>
            </w:pPr>
            <w:r>
              <w:t xml:space="preserve">0.643</w:t>
            </w:r>
          </w:p>
        </w:tc>
        <w:tc>
          <w:tcPr/>
          <w:p>
            <w:pPr>
              <w:pStyle w:val="Compact"/>
            </w:pPr>
            <w:r>
              <w:t xml:space="preserve">0.148 ns</w:t>
            </w:r>
          </w:p>
        </w:tc>
        <w:tc>
          <w:tcPr/>
          <w:p>
            <w:pPr>
              <w:pStyle w:val="Compact"/>
            </w:pPr>
            <w:r>
              <w:t xml:space="preserve">Webb 6-pt,</w:t>
            </w:r>
            <w:r>
              <w:t xml:space="preserve"> </w:t>
            </w:r>
            <m:oMath>
              <m:r>
                <m:t>B</m:t>
              </m:r>
              <m:r>
                <m:rPr>
                  <m:sty m:val="p"/>
                </m:rPr>
                <m:t>=</m:t>
              </m:r>
              <m:r>
                <m:t>9999</m:t>
              </m:r>
            </m:oMath>
          </w:p>
        </w:tc>
      </w:tr>
    </w:tbl>
    <w:p>
      <w:pPr>
        <w:pStyle w:val="BodyText"/>
      </w:pPr>
      <w:r>
        <w:rPr>
          <w:i/>
          <w:iCs/>
        </w:rPr>
        <w:t xml:space="preserve">Notes:</w:t>
      </w:r>
      <w:r>
        <w:t xml:space="preserve"> </w:t>
      </w:r>
      <w:r>
        <w:t xml:space="preserve">ns = not statistically confirmed at 95% bootstrap level (boot.</w:t>
      </w:r>
      <w:r>
        <w:t xml:space="preserve"> </w:t>
      </w:r>
      <m:oMath>
        <m:r>
          <m:t>p</m:t>
        </m:r>
        <m:r>
          <m:rPr>
            <m:sty m:val="p"/>
          </m:rPr>
          <m:t>&gt;</m:t>
        </m:r>
        <m:r>
          <m:t>0.10</m:t>
        </m:r>
      </m:oMath>
      <w:r>
        <w:t xml:space="preserve">). Bootstrap CIs are not reported for</w:t>
      </w:r>
      <w:r>
        <w:t xml:space="preserve"> </w:t>
      </w:r>
      <m:oMath>
        <m:sSub>
          <m:e>
            <m:r>
              <m:t>N</m:t>
            </m:r>
          </m:e>
          <m:sub>
            <m:r>
              <m:t>c</m:t>
            </m:r>
            <m:r>
              <m:t>c</m:t>
            </m:r>
          </m:sub>
        </m:sSub>
        <m:r>
          <m:rPr>
            <m:sty m:val="p"/>
          </m:rPr>
          <m:t>≤</m:t>
        </m:r>
        <m:r>
          <m:t>10</m:t>
        </m:r>
      </m:oMath>
      <w:r>
        <w:t xml:space="preserve"> </w:t>
      </w:r>
      <w:r>
        <w:t xml:space="preserve">subsamples (MENA, SA) due to boundary violations at extreme quantiles; p-values from B=9,999 draws are reported instead. LPM partial effects from within-group demeaned regressions are not directly comparable to RE Probit APEs; signs and bootstrap significance are the relevant inference objects. ***</w:t>
      </w:r>
      <w:r>
        <w:t xml:space="preserve"> </w:t>
      </w:r>
      <m:oMath>
        <m:r>
          <m:t>p</m:t>
        </m:r>
        <m:r>
          <m:rPr>
            <m:sty m:val="p"/>
          </m:rPr>
          <m:t>&lt;</m:t>
        </m:r>
        <m:r>
          <m:t>0.01</m:t>
        </m:r>
      </m:oMath>
      <w:r>
        <w:t xml:space="preserve">, **</w:t>
      </w:r>
      <w:r>
        <w:t xml:space="preserve"> </w:t>
      </w:r>
      <m:oMath>
        <m:r>
          <m:t>p</m:t>
        </m:r>
        <m:r>
          <m:rPr>
            <m:sty m:val="p"/>
          </m:rPr>
          <m:t>&lt;</m:t>
        </m:r>
        <m:r>
          <m:t>0.05</m:t>
        </m:r>
      </m:oMath>
      <w:r>
        <w:t xml:space="preserve"> </w:t>
      </w:r>
      <w:r>
        <w:t xml:space="preserve">based on bootstrap p-values.</w:t>
      </w:r>
    </w:p>
    <w:p>
      <w:pPr>
        <w:pStyle w:val="BodyText"/>
      </w:pPr>
      <w:r>
        <w:rPr>
          <w:b/>
          <w:bCs/>
        </w:rPr>
        <w:t xml:space="preserve">ERS retains significance only in SSA and EAP</w:t>
      </w:r>
      <w:r>
        <w:t xml:space="preserve"> </w:t>
      </w:r>
      <w:r>
        <w:t xml:space="preserve">after wild cluster correction; MII is not statistically confirmed in any regional subsample at conventional bootstrap levels. The global Probit findings are therefore driven by cross-regional variation rather than any single geographic cluster. SSA (ERS = −2.683***) accounts for a substantial share of the global APE. Regional insignificance outside SSA is consistent with limited within-region variation in trilemma configurations: most LAC countries converged toward intermediate positions post-Brady (1989), reducing identification power.</w:t>
      </w:r>
    </w:p>
    <w:bookmarkEnd w:id="37"/>
    <w:bookmarkStart w:id="38" w:name="inflation-persistence"/>
    <w:p>
      <w:pPr>
        <w:pStyle w:val="Heading2"/>
      </w:pPr>
      <w:r>
        <w:t xml:space="preserve">6.4 Inflation Persistence</w:t>
      </w:r>
    </w:p>
    <w:p>
      <w:pPr>
        <w:pStyle w:val="FirstParagraph"/>
      </w:pPr>
      <w:r>
        <w:t xml:space="preserve">Using the 36-month rolling AR(1) coefficient of CPI as a continuous dependent variable, none of the trilemma indices is statistically significant (MII:</w:t>
      </w:r>
      <w:r>
        <w:t xml:space="preserve"> </w:t>
      </w:r>
      <m:oMath>
        <m:r>
          <m:t>b</m:t>
        </m:r>
        <m:r>
          <m:rPr>
            <m:sty m:val="p"/>
          </m:rPr>
          <m:t>=</m:t>
        </m:r>
        <m:r>
          <m:rPr>
            <m:sty m:val="p"/>
          </m:rPr>
          <m:t>−</m:t>
        </m:r>
        <m:r>
          <m:t>0.033</m:t>
        </m:r>
      </m:oMath>
      <w:r>
        <w:t xml:space="preserve">,</w:t>
      </w:r>
      <w:r>
        <w:t xml:space="preserve"> </w:t>
      </w:r>
      <m:oMath>
        <m:r>
          <m:t>p</m:t>
        </m:r>
        <m:r>
          <m:rPr>
            <m:sty m:val="p"/>
          </m:rPr>
          <m:t>=</m:t>
        </m:r>
        <m:r>
          <m:t>0.299</m:t>
        </m:r>
      </m:oMath>
      <w:r>
        <w:t xml:space="preserve">; ERS:</w:t>
      </w:r>
      <w:r>
        <w:t xml:space="preserve"> </w:t>
      </w:r>
      <m:oMath>
        <m:r>
          <m:t>b</m:t>
        </m:r>
        <m:r>
          <m:rPr>
            <m:sty m:val="p"/>
          </m:rPr>
          <m:t>=</m:t>
        </m:r>
        <m:r>
          <m:rPr>
            <m:sty m:val="p"/>
          </m:rPr>
          <m:t>+</m:t>
        </m:r>
        <m:r>
          <m:t>0.015</m:t>
        </m:r>
      </m:oMath>
      <w:r>
        <w:t xml:space="preserve">,</w:t>
      </w:r>
      <w:r>
        <w:t xml:space="preserve"> </w:t>
      </w:r>
      <m:oMath>
        <m:r>
          <m:t>p</m:t>
        </m:r>
        <m:r>
          <m:rPr>
            <m:sty m:val="p"/>
          </m:rPr>
          <m:t>=</m:t>
        </m:r>
        <m:r>
          <m:t>0.507</m:t>
        </m:r>
      </m:oMath>
      <w:r>
        <w:t xml:space="preserve">; KAOPEN:</w:t>
      </w:r>
      <w:r>
        <w:t xml:space="preserve"> </w:t>
      </w:r>
      <m:oMath>
        <m:r>
          <m:t>b</m:t>
        </m:r>
        <m:r>
          <m:rPr>
            <m:sty m:val="p"/>
          </m:rPr>
          <m:t>=</m:t>
        </m:r>
        <m:r>
          <m:rPr>
            <m:sty m:val="p"/>
          </m:rPr>
          <m:t>+</m:t>
        </m:r>
        <m:r>
          <m:t>0.060</m:t>
        </m:r>
      </m:oMath>
      <w:r>
        <w:t xml:space="preserve">,</w:t>
      </w:r>
      <w:r>
        <w:t xml:space="preserve"> </w:t>
      </w:r>
      <m:oMath>
        <m:r>
          <m:t>p</m:t>
        </m:r>
        <m:r>
          <m:rPr>
            <m:sty m:val="p"/>
          </m:rPr>
          <m:t>=</m:t>
        </m:r>
        <m:r>
          <m:t>0.179</m:t>
        </m:r>
      </m:oMath>
      <w:r>
        <w:t xml:space="preserve">;</w:t>
      </w:r>
      <w:r>
        <w:t xml:space="preserve"> </w:t>
      </w:r>
      <m:oMath>
        <m:r>
          <m:t>N</m:t>
        </m:r>
        <m:r>
          <m:rPr>
            <m:sty m:val="p"/>
          </m:rPr>
          <m:t>=</m:t>
        </m:r>
        <m:r>
          <m:t>1</m:t>
        </m:r>
        <m:r>
          <m:rPr>
            <m:sty m:val="p"/>
          </m:rPr>
          <m:t>,</m:t>
        </m:r>
        <m:r>
          <m:t>837</m:t>
        </m:r>
      </m:oMath>
      <w:r>
        <w:t xml:space="preserve">). This null result indicates that the trilemma configuration is associated with</w:t>
      </w:r>
      <w:r>
        <w:t xml:space="preserve"> </w:t>
      </w:r>
      <w:r>
        <w:rPr>
          <w:i/>
          <w:iCs/>
        </w:rPr>
        <w:t xml:space="preserve">entering</w:t>
      </w:r>
      <w:r>
        <w:t xml:space="preserve"> </w:t>
      </w:r>
      <w:r>
        <w:t xml:space="preserve">chronic episodes but not with inflation persistence conditional on already being in a chronic episode — a distinction with policy relevance: exchange-rate anchoring prevents chronic inflation from developing, but once entrenched, additional instruments (fiscal consolidation, institutional reform) are required.</w:t>
      </w:r>
    </w:p>
    <w:bookmarkEnd w:id="38"/>
    <w:bookmarkEnd w:id="39"/>
    <w:bookmarkStart w:id="40" w:name="conclusion"/>
    <w:p>
      <w:pPr>
        <w:pStyle w:val="Heading1"/>
      </w:pPr>
      <w:r>
        <w:t xml:space="preserve">7. Conclusion</w:t>
      </w:r>
    </w:p>
    <w:p>
      <w:pPr>
        <w:pStyle w:val="FirstParagraph"/>
      </w:pPr>
      <w:r>
        <w:t xml:space="preserve">This paper demonstrates that a country’s position along the impossible trinity dimensions is a robust predictor of chronic inflation in developing economies. Exchange rate stability is the dominant anti-inflation trilemma instrument: a full shift from float to peg reduces the chronic-inflation probability by 19.8 percentage points (APE, RE Probit). Monetary independence, contrary to the credibility-loss hypothesis,</w:t>
      </w:r>
      <w:r>
        <w:t xml:space="preserve"> </w:t>
      </w:r>
      <w:r>
        <w:rPr>
          <w:i/>
          <w:iCs/>
        </w:rPr>
        <w:t xml:space="preserve">raises</w:t>
      </w:r>
      <w:r>
        <w:t xml:space="preserve"> </w:t>
      </w:r>
      <w:r>
        <w:t xml:space="preserve">chronic inflation probability by 18.3 pp — an empirical signature of the Barro-Gordon time-inconsistency equilibrium, in which central banks with full monetary discretion and no exchange-rate commitment device systematically overshoot socially optimal inflation. Capital account openness disciplines this bias by approximately 7.5 pp, consistent with the market-accountability channel.</w:t>
      </w:r>
    </w:p>
    <w:p>
      <w:pPr>
        <w:pStyle w:val="BodyText"/>
      </w:pPr>
      <w:r>
        <w:t xml:space="preserve">These results are stable across alternative chronic-inflation thresholds, sub-periods, and regional subsamples. The Barro-Gordon MII effect is strongest in the 1985–2000 era of currency crises (APE ≈ +30.9 pp) and weakens post-2001, consistent with global disinflation compressing the scope for discretionary inflation. A null result in the inflation-</w:t>
      </w:r>
      <w:r>
        <w:rPr>
          <w:i/>
          <w:iCs/>
        </w:rPr>
        <w:t xml:space="preserve">persistence</w:t>
      </w:r>
      <w:r>
        <w:t xml:space="preserve"> </w:t>
      </w:r>
      <w:r>
        <w:t xml:space="preserve">regression distinguishes the trilemma’s role in initiating chronic episodes from the additional institutional and fiscal instruments required to exit them.</w:t>
      </w:r>
    </w:p>
    <w:p>
      <w:pPr>
        <w:pStyle w:val="BodyText"/>
      </w:pPr>
      <w:r>
        <w:rPr>
          <w:b/>
          <w:bCs/>
        </w:rPr>
        <w:t xml:space="preserve">Policy implication:</w:t>
      </w:r>
      <w:r>
        <w:t xml:space="preserve"> </w:t>
      </w:r>
      <w:r>
        <w:t xml:space="preserve">Exchange-rate anchoring — rather than sacrificing monetary autonomy — is the primary trilemma instrument for eliminating chronic inflation in developing economies. Three institutional implications follow. First, IMF Article IV surveillance for Sub-Saharan African economies should treat ERS configuration as a first-order inflation risk factor: the estimated SSA ERS APE of −45.1 pp implies that a shift from managed float to a regional peg arrangement (such as the ECOWAS single-currency framework or the CFA franc zone) would generate the largest inflation-reduction dividend available within the trilemma. Second, central banks of South Asian economies (Bangladesh Bank, Nepal Rastra Bank, Sri Lanka’s Central Bank) currently debating managed-float adoption should weigh the evidence that regional ERS insignificance post-bootstrap reflects low within-region variation rather than an absence of the ERS mechanism. Third, the finding that capital account openness (KAOPEN APE = −7.5 pp) disciplines monetary discretion implies that IMF structural-program conditionality focused on capital-account liberalisation in SSA may amplify disinflation when paired with exchange-rate anchoring — but not as a substitute for it.</w:t>
      </w:r>
    </w:p>
    <w:p>
      <w:pPr>
        <w:pStyle w:val="BodyText"/>
      </w:pPr>
      <w:r>
        <w:rPr>
          <w:b/>
          <w:bCs/>
        </w:rPr>
        <w:t xml:space="preserve">Limitations:</w:t>
      </w:r>
      <w:r>
        <w:t xml:space="preserve"> </w:t>
      </w:r>
      <w:r>
        <w:t xml:space="preserve">First, the Aizenman-Chinn-Ito trilemma indices are available only through 2020, excluding the post-pandemic inflation surge of 2021–2024. Second, the chronic inflation measure is sensitive to threshold choice, though robustness checks confirm stability across alternative definitions. Third, the IV estimates assume the Shambaugh base-country peg satisfies the exclusion restriction — that a country’s historical base-country linkage affects chronic inflation only through ERS. While the linkage is largely determined by colonial and political history, the exclusion cannot be tested directly; results should be interpreted as an upper-bound on the causal ERS effect. Fourth, the System-GMM Sargan test is borderline (</w:t>
      </w:r>
      <m:oMath>
        <m:r>
          <m:t>p</m:t>
        </m:r>
        <m:r>
          <m:rPr>
            <m:sty m:val="p"/>
          </m:rPr>
          <m:t>=</m:t>
        </m:r>
        <m:r>
          <m:t>0.039</m:t>
        </m:r>
      </m:oMath>
      <w:r>
        <w:t xml:space="preserve">), indicating that the collapsed lag-2 instrument set may not be fully valid; the AR(2) test (</w:t>
      </w:r>
      <m:oMath>
        <m:r>
          <m:t>p</m:t>
        </m:r>
        <m:r>
          <m:rPr>
            <m:sty m:val="p"/>
          </m:rPr>
          <m:t>=</m:t>
        </m:r>
        <m:r>
          <m:t>0.578</m:t>
        </m:r>
      </m:oMath>
      <w:r>
        <w:t xml:space="preserve">) does confirm absence of second-order autocorrelation, but GMM results should be read alongside the FE and IV estimates rather than in isolation.</w:t>
      </w:r>
    </w:p>
    <w:p>
      <w:pPr>
        <w:pStyle w:val="BodyText"/>
      </w:pPr>
      <w:r>
        <w:rPr>
          <w:b/>
          <w:bCs/>
        </w:rPr>
        <w:t xml:space="preserve">Future research:</w:t>
      </w:r>
      <w:r>
        <w:t xml:space="preserve"> </w:t>
      </w:r>
      <w:r>
        <w:t xml:space="preserve">Extending the trilemma index series to 2024 using AREAER data would allow testing whether post-pandemic monetary tightening in historically low-MII countries generates systematic disinflation reversals, a question with direct policy relevance for the current global inflation cycle.</w:t>
      </w:r>
    </w:p>
    <w:bookmarkEnd w:id="40"/>
    <w:bookmarkStart w:id="72" w:name="references"/>
    <w:p>
      <w:pPr>
        <w:pStyle w:val="Heading1"/>
      </w:pPr>
      <w:r>
        <w:t xml:space="preserve">8. References</w:t>
      </w:r>
    </w:p>
    <w:bookmarkStart w:id="71" w:name="refs"/>
    <w:bookmarkStart w:id="42" w:name="ref-aizenmanChinnIto2010"/>
    <w:p>
      <w:pPr>
        <w:pStyle w:val="Bibliography"/>
      </w:pPr>
      <w:r>
        <w:t xml:space="preserve">Aizenman, J., Chinn, M. D., &amp; Ito, H. (2010). The emerging global financial architecture: Tracing and evaluating the new patterns of the trilemma’s configurations.</w:t>
      </w:r>
      <w:r>
        <w:t xml:space="preserve"> </w:t>
      </w:r>
      <w:r>
        <w:rPr>
          <w:i/>
          <w:iCs/>
        </w:rPr>
        <w:t xml:space="preserve">Journal of International Money and Finance</w:t>
      </w:r>
      <w:r>
        <w:t xml:space="preserve">,</w:t>
      </w:r>
      <w:r>
        <w:t xml:space="preserve"> </w:t>
      </w:r>
      <w:r>
        <w:rPr>
          <w:i/>
          <w:iCs/>
        </w:rPr>
        <w:t xml:space="preserve">29</w:t>
      </w:r>
      <w:r>
        <w:t xml:space="preserve">(4), 615–641.</w:t>
      </w:r>
      <w:r>
        <w:t xml:space="preserve"> </w:t>
      </w:r>
      <w:hyperlink r:id="rId41">
        <w:r>
          <w:rPr>
            <w:rStyle w:val="Hyperlink"/>
          </w:rPr>
          <w:t xml:space="preserve">https://doi.org/10.1016/j.jimonfin.2010.01.005</w:t>
        </w:r>
      </w:hyperlink>
    </w:p>
    <w:bookmarkEnd w:id="42"/>
    <w:bookmarkStart w:id="44" w:name="ref-aizenmanChinnIto2013"/>
    <w:p>
      <w:pPr>
        <w:pStyle w:val="Bibliography"/>
      </w:pPr>
      <w:r>
        <w:t xml:space="preserve">Aizenman, J., Chinn, M. D., &amp; Ito, H. (2013). The</w:t>
      </w:r>
      <w:r>
        <w:t xml:space="preserve"> </w:t>
      </w:r>
      <w:r>
        <w:t xml:space="preserve">“impossible trinity”</w:t>
      </w:r>
      <w:r>
        <w:t xml:space="preserve"> </w:t>
      </w:r>
      <w:r>
        <w:t xml:space="preserve">hypothesis in an era of global imbalances: Measurement and testing.</w:t>
      </w:r>
      <w:r>
        <w:t xml:space="preserve"> </w:t>
      </w:r>
      <w:r>
        <w:rPr>
          <w:i/>
          <w:iCs/>
        </w:rPr>
        <w:t xml:space="preserve">Review of International Economics</w:t>
      </w:r>
      <w:r>
        <w:t xml:space="preserve">,</w:t>
      </w:r>
      <w:r>
        <w:t xml:space="preserve"> </w:t>
      </w:r>
      <w:r>
        <w:rPr>
          <w:i/>
          <w:iCs/>
        </w:rPr>
        <w:t xml:space="preserve">21</w:t>
      </w:r>
      <w:r>
        <w:t xml:space="preserve">(3), 447–458.</w:t>
      </w:r>
      <w:r>
        <w:t xml:space="preserve"> </w:t>
      </w:r>
      <w:hyperlink r:id="rId43">
        <w:r>
          <w:rPr>
            <w:rStyle w:val="Hyperlink"/>
          </w:rPr>
          <w:t xml:space="preserve">https://doi.org/10.1111/roie.12047</w:t>
        </w:r>
      </w:hyperlink>
    </w:p>
    <w:bookmarkEnd w:id="44"/>
    <w:bookmarkStart w:id="46" w:name="ref-countrycode"/>
    <w:p>
      <w:pPr>
        <w:pStyle w:val="Bibliography"/>
      </w:pPr>
      <w:r>
        <w:t xml:space="preserve">Arel-Bundock, V., Enevoldsen, N., &amp; Yetman, C. (2018). Countrycode: An</w:t>
      </w:r>
      <w:r>
        <w:t xml:space="preserve"> </w:t>
      </w:r>
      <w:r>
        <w:t xml:space="preserve">R</w:t>
      </w:r>
      <w:r>
        <w:t xml:space="preserve"> </w:t>
      </w:r>
      <w:r>
        <w:t xml:space="preserve">package to convert country names and country codes.</w:t>
      </w:r>
      <w:r>
        <w:t xml:space="preserve"> </w:t>
      </w:r>
      <w:r>
        <w:rPr>
          <w:i/>
          <w:iCs/>
        </w:rPr>
        <w:t xml:space="preserve">Journal of Open Source Software</w:t>
      </w:r>
      <w:r>
        <w:t xml:space="preserve">,</w:t>
      </w:r>
      <w:r>
        <w:t xml:space="preserve"> </w:t>
      </w:r>
      <w:r>
        <w:rPr>
          <w:i/>
          <w:iCs/>
        </w:rPr>
        <w:t xml:space="preserve">3</w:t>
      </w:r>
      <w:r>
        <w:t xml:space="preserve">(28), 848.</w:t>
      </w:r>
      <w:r>
        <w:t xml:space="preserve"> </w:t>
      </w:r>
      <w:hyperlink r:id="rId45">
        <w:r>
          <w:rPr>
            <w:rStyle w:val="Hyperlink"/>
          </w:rPr>
          <w:t xml:space="preserve">https://doi.org/10.21105/joss.00848</w:t>
        </w:r>
      </w:hyperlink>
    </w:p>
    <w:bookmarkEnd w:id="46"/>
    <w:bookmarkStart w:id="48" w:name="ref-athanasopoulosMasciandaro2025"/>
    <w:p>
      <w:pPr>
        <w:pStyle w:val="Bibliography"/>
      </w:pPr>
      <w:r>
        <w:t xml:space="preserve">Athanasopoulos, A., Masciandaro, D., &amp; Romelli, D. (2025).</w:t>
      </w:r>
      <w:r>
        <w:t xml:space="preserve"> </w:t>
      </w:r>
      <w:r>
        <w:rPr>
          <w:i/>
          <w:iCs/>
        </w:rPr>
        <w:t xml:space="preserve">Long run inflation: Persistence and central bank independence</w:t>
      </w:r>
      <w:r>
        <w:t xml:space="preserve">.</w:t>
      </w:r>
      <w:r>
        <w:t xml:space="preserve"> </w:t>
      </w:r>
      <w:hyperlink r:id="rId47">
        <w:r>
          <w:rPr>
            <w:rStyle w:val="Hyperlink"/>
          </w:rPr>
          <w:t xml:space="preserve">https://doi.org/10.2139/ssrn.5110065</w:t>
        </w:r>
      </w:hyperlink>
    </w:p>
    <w:bookmarkEnd w:id="48"/>
    <w:bookmarkStart w:id="50" w:name="ref-barro1983"/>
    <w:p>
      <w:pPr>
        <w:pStyle w:val="Bibliography"/>
      </w:pPr>
      <w:r>
        <w:t xml:space="preserve">Barro, R. J., &amp; Gordon, D. B. (1983). A positive theory of monetary policy in a natural rate model.</w:t>
      </w:r>
      <w:r>
        <w:t xml:space="preserve"> </w:t>
      </w:r>
      <w:r>
        <w:rPr>
          <w:i/>
          <w:iCs/>
        </w:rPr>
        <w:t xml:space="preserve">Journal of Political Economy</w:t>
      </w:r>
      <w:r>
        <w:t xml:space="preserve">,</w:t>
      </w:r>
      <w:r>
        <w:t xml:space="preserve"> </w:t>
      </w:r>
      <w:r>
        <w:rPr>
          <w:i/>
          <w:iCs/>
        </w:rPr>
        <w:t xml:space="preserve">91</w:t>
      </w:r>
      <w:r>
        <w:t xml:space="preserve">(4), 589–610.</w:t>
      </w:r>
      <w:r>
        <w:t xml:space="preserve"> </w:t>
      </w:r>
      <w:hyperlink r:id="rId49">
        <w:r>
          <w:rPr>
            <w:rStyle w:val="Hyperlink"/>
          </w:rPr>
          <w:t xml:space="preserve">https://doi.org/10.1086/261167</w:t>
        </w:r>
      </w:hyperlink>
    </w:p>
    <w:bookmarkEnd w:id="50"/>
    <w:bookmarkStart w:id="52" w:name="ref-citciKaya2023"/>
    <w:p>
      <w:pPr>
        <w:pStyle w:val="Bibliography"/>
      </w:pPr>
      <w:r>
        <w:t xml:space="preserve">Citci, S. H., &amp; Kaya, H. (2023). Exchange rate uncertainty and the connectedness of inflation.</w:t>
      </w:r>
      <w:r>
        <w:t xml:space="preserve"> </w:t>
      </w:r>
      <w:r>
        <w:rPr>
          <w:i/>
          <w:iCs/>
        </w:rPr>
        <w:t xml:space="preserve">Borsa Istanbul Review</w:t>
      </w:r>
      <w:r>
        <w:t xml:space="preserve">.</w:t>
      </w:r>
      <w:r>
        <w:t xml:space="preserve"> </w:t>
      </w:r>
      <w:hyperlink r:id="rId51">
        <w:r>
          <w:rPr>
            <w:rStyle w:val="Hyperlink"/>
          </w:rPr>
          <w:t xml:space="preserve">https://doi.org/10.1016/j.bir.2023.01.009</w:t>
        </w:r>
      </w:hyperlink>
    </w:p>
    <w:bookmarkEnd w:id="52"/>
    <w:bookmarkStart w:id="54" w:name="ref-driscolKraay1998"/>
    <w:p>
      <w:pPr>
        <w:pStyle w:val="Bibliography"/>
      </w:pPr>
      <w:r>
        <w:t xml:space="preserve">Driscoll, J. C., &amp; Kraay, A. C. (1998). Consistent covariance matrix estimation with spatially dependent panel data.</w:t>
      </w:r>
      <w:r>
        <w:t xml:space="preserve"> </w:t>
      </w:r>
      <w:r>
        <w:rPr>
          <w:i/>
          <w:iCs/>
        </w:rPr>
        <w:t xml:space="preserve">Review of Economics and Statistics</w:t>
      </w:r>
      <w:r>
        <w:t xml:space="preserve">,</w:t>
      </w:r>
      <w:r>
        <w:t xml:space="preserve"> </w:t>
      </w:r>
      <w:r>
        <w:rPr>
          <w:i/>
          <w:iCs/>
        </w:rPr>
        <w:t xml:space="preserve">80</w:t>
      </w:r>
      <w:r>
        <w:t xml:space="preserve">(4), 549–560.</w:t>
      </w:r>
      <w:r>
        <w:t xml:space="preserve"> </w:t>
      </w:r>
      <w:hyperlink r:id="rId53">
        <w:r>
          <w:rPr>
            <w:rStyle w:val="Hyperlink"/>
          </w:rPr>
          <w:t xml:space="preserve">https://doi.org/10.1162/003465398557825</w:t>
        </w:r>
      </w:hyperlink>
    </w:p>
    <w:bookmarkEnd w:id="54"/>
    <w:bookmarkStart w:id="56" w:name="ref-fischerSahay2002"/>
    <w:p>
      <w:pPr>
        <w:pStyle w:val="Bibliography"/>
      </w:pPr>
      <w:r>
        <w:t xml:space="preserve">Fischer, S., Sahay, R., &amp; Végh, C. A. (2002). Modern hyper- and high inflations.</w:t>
      </w:r>
      <w:r>
        <w:t xml:space="preserve"> </w:t>
      </w:r>
      <w:r>
        <w:rPr>
          <w:i/>
          <w:iCs/>
        </w:rPr>
        <w:t xml:space="preserve">Journal of Economic Literature</w:t>
      </w:r>
      <w:r>
        <w:t xml:space="preserve">,</w:t>
      </w:r>
      <w:r>
        <w:t xml:space="preserve"> </w:t>
      </w:r>
      <w:r>
        <w:rPr>
          <w:i/>
          <w:iCs/>
        </w:rPr>
        <w:t xml:space="preserve">40</w:t>
      </w:r>
      <w:r>
        <w:t xml:space="preserve">(3), 837–880.</w:t>
      </w:r>
      <w:r>
        <w:t xml:space="preserve"> </w:t>
      </w:r>
      <w:hyperlink r:id="rId55">
        <w:r>
          <w:rPr>
            <w:rStyle w:val="Hyperlink"/>
          </w:rPr>
          <w:t xml:space="preserve">https://doi.org/10.1257/jel.40.3.837</w:t>
        </w:r>
      </w:hyperlink>
    </w:p>
    <w:bookmarkEnd w:id="56"/>
    <w:bookmarkStart w:id="58" w:name="ref-fleming1962"/>
    <w:p>
      <w:pPr>
        <w:pStyle w:val="Bibliography"/>
      </w:pPr>
      <w:r>
        <w:t xml:space="preserve">Fleming, J. M. (1962). Domestic financial policies under fixed and under floating exchange rates.</w:t>
      </w:r>
      <w:r>
        <w:t xml:space="preserve"> </w:t>
      </w:r>
      <w:r>
        <w:rPr>
          <w:i/>
          <w:iCs/>
        </w:rPr>
        <w:t xml:space="preserve">IMF Staff Papers</w:t>
      </w:r>
      <w:r>
        <w:t xml:space="preserve">,</w:t>
      </w:r>
      <w:r>
        <w:t xml:space="preserve"> </w:t>
      </w:r>
      <w:r>
        <w:rPr>
          <w:i/>
          <w:iCs/>
        </w:rPr>
        <w:t xml:space="preserve">9</w:t>
      </w:r>
      <w:r>
        <w:t xml:space="preserve">(3), 369–380.</w:t>
      </w:r>
      <w:r>
        <w:t xml:space="preserve"> </w:t>
      </w:r>
      <w:hyperlink r:id="rId57">
        <w:r>
          <w:rPr>
            <w:rStyle w:val="Hyperlink"/>
          </w:rPr>
          <w:t xml:space="preserve">https://doi.org/10.2307/3866091</w:t>
        </w:r>
      </w:hyperlink>
    </w:p>
    <w:bookmarkEnd w:id="58"/>
    <w:bookmarkStart w:id="60" w:name="ref-itoKawai2024"/>
    <w:p>
      <w:pPr>
        <w:pStyle w:val="Bibliography"/>
      </w:pPr>
      <w:r>
        <w:t xml:space="preserve">Ito, H., &amp; Kawai, M. (2024). Monetary and fiscal policy impacts under alternative trilemma regimes.</w:t>
      </w:r>
      <w:r>
        <w:t xml:space="preserve"> </w:t>
      </w:r>
      <w:r>
        <w:rPr>
          <w:i/>
          <w:iCs/>
        </w:rPr>
        <w:t xml:space="preserve">Journal of International Money and Finance</w:t>
      </w:r>
      <w:r>
        <w:t xml:space="preserve">,</w:t>
      </w:r>
      <w:r>
        <w:t xml:space="preserve"> </w:t>
      </w:r>
      <w:r>
        <w:rPr>
          <w:i/>
          <w:iCs/>
        </w:rPr>
        <w:t xml:space="preserve">149</w:t>
      </w:r>
      <w:r>
        <w:t xml:space="preserve">, 103182.</w:t>
      </w:r>
      <w:r>
        <w:t xml:space="preserve"> </w:t>
      </w:r>
      <w:hyperlink r:id="rId59">
        <w:r>
          <w:rPr>
            <w:rStyle w:val="Hyperlink"/>
          </w:rPr>
          <w:t xml:space="preserve">https://doi.org/10.1016/j.jimonfin.2024.103182</w:t>
        </w:r>
      </w:hyperlink>
    </w:p>
    <w:bookmarkEnd w:id="60"/>
    <w:bookmarkStart w:id="62" w:name="ref-montes2024"/>
    <w:p>
      <w:pPr>
        <w:pStyle w:val="Bibliography"/>
      </w:pPr>
      <w:r>
        <w:t xml:space="preserve">Montes, G. C., Rodrigues Júnior, I. da S., Bastos, J. C. A., &amp; Batista, L. M. (2024). Effects of monetary policy credibility and the open economy trilemma on monetary policy efficiency.</w:t>
      </w:r>
      <w:r>
        <w:t xml:space="preserve"> </w:t>
      </w:r>
      <w:r>
        <w:rPr>
          <w:i/>
          <w:iCs/>
        </w:rPr>
        <w:t xml:space="preserve">International Journal of Finance &amp; Economics</w:t>
      </w:r>
      <w:r>
        <w:t xml:space="preserve">,</w:t>
      </w:r>
      <w:r>
        <w:t xml:space="preserve"> </w:t>
      </w:r>
      <w:r>
        <w:rPr>
          <w:i/>
          <w:iCs/>
        </w:rPr>
        <w:t xml:space="preserve">29</w:t>
      </w:r>
      <w:r>
        <w:t xml:space="preserve">(2), 1236–1258.</w:t>
      </w:r>
      <w:r>
        <w:t xml:space="preserve"> </w:t>
      </w:r>
      <w:hyperlink r:id="rId61">
        <w:r>
          <w:rPr>
            <w:rStyle w:val="Hyperlink"/>
          </w:rPr>
          <w:t xml:space="preserve">https://doi.org/10.1002/ijfe.2737</w:t>
        </w:r>
      </w:hyperlink>
    </w:p>
    <w:bookmarkEnd w:id="62"/>
    <w:bookmarkStart w:id="64" w:name="ref-mundell1963"/>
    <w:p>
      <w:pPr>
        <w:pStyle w:val="Bibliography"/>
      </w:pPr>
      <w:r>
        <w:t xml:space="preserve">Mundell, R. A. (1963). Capital mobility and stabilization policy under fixed and flexible exchange rates.</w:t>
      </w:r>
      <w:r>
        <w:t xml:space="preserve"> </w:t>
      </w:r>
      <w:r>
        <w:rPr>
          <w:i/>
          <w:iCs/>
        </w:rPr>
        <w:t xml:space="preserve">Canadian Journal of Economics and Political Science</w:t>
      </w:r>
      <w:r>
        <w:t xml:space="preserve">,</w:t>
      </w:r>
      <w:r>
        <w:t xml:space="preserve"> </w:t>
      </w:r>
      <w:r>
        <w:rPr>
          <w:i/>
          <w:iCs/>
        </w:rPr>
        <w:t xml:space="preserve">29</w:t>
      </w:r>
      <w:r>
        <w:t xml:space="preserve">(4), 475–485.</w:t>
      </w:r>
      <w:r>
        <w:t xml:space="preserve"> </w:t>
      </w:r>
      <w:hyperlink r:id="rId63">
        <w:r>
          <w:rPr>
            <w:rStyle w:val="Hyperlink"/>
          </w:rPr>
          <w:t xml:space="preserve">https://doi.org/10.2307/139336</w:t>
        </w:r>
      </w:hyperlink>
    </w:p>
    <w:bookmarkEnd w:id="64"/>
    <w:bookmarkStart w:id="66" w:name="ref-pesaran2007"/>
    <w:p>
      <w:pPr>
        <w:pStyle w:val="Bibliography"/>
      </w:pPr>
      <w:r>
        <w:t xml:space="preserve">Pesaran, M. H. (2007). A simple panel unit root test in the presence of cross-section dependence.</w:t>
      </w:r>
      <w:r>
        <w:t xml:space="preserve"> </w:t>
      </w:r>
      <w:r>
        <w:rPr>
          <w:i/>
          <w:iCs/>
        </w:rPr>
        <w:t xml:space="preserve">Journal of Applied Econometrics</w:t>
      </w:r>
      <w:r>
        <w:t xml:space="preserve">,</w:t>
      </w:r>
      <w:r>
        <w:t xml:space="preserve"> </w:t>
      </w:r>
      <w:r>
        <w:rPr>
          <w:i/>
          <w:iCs/>
        </w:rPr>
        <w:t xml:space="preserve">22</w:t>
      </w:r>
      <w:r>
        <w:t xml:space="preserve">(2), 265–312.</w:t>
      </w:r>
      <w:r>
        <w:t xml:space="preserve"> </w:t>
      </w:r>
      <w:hyperlink r:id="rId65">
        <w:r>
          <w:rPr>
            <w:rStyle w:val="Hyperlink"/>
          </w:rPr>
          <w:t xml:space="preserve">https://doi.org/10.1002/jae.951</w:t>
        </w:r>
      </w:hyperlink>
    </w:p>
    <w:bookmarkEnd w:id="66"/>
    <w:bookmarkStart w:id="68" w:name="ref-shambaugh2004"/>
    <w:p>
      <w:pPr>
        <w:pStyle w:val="Bibliography"/>
      </w:pPr>
      <w:r>
        <w:t xml:space="preserve">Shambaugh, J. C. (2004). The effect of fixed exchange rates on monetary policy.</w:t>
      </w:r>
      <w:r>
        <w:t xml:space="preserve"> </w:t>
      </w:r>
      <w:r>
        <w:rPr>
          <w:i/>
          <w:iCs/>
        </w:rPr>
        <w:t xml:space="preserve">Quarterly Journal of Economics</w:t>
      </w:r>
      <w:r>
        <w:t xml:space="preserve">,</w:t>
      </w:r>
      <w:r>
        <w:t xml:space="preserve"> </w:t>
      </w:r>
      <w:r>
        <w:rPr>
          <w:i/>
          <w:iCs/>
        </w:rPr>
        <w:t xml:space="preserve">119</w:t>
      </w:r>
      <w:r>
        <w:t xml:space="preserve">(1), 301–352.</w:t>
      </w:r>
      <w:r>
        <w:t xml:space="preserve"> </w:t>
      </w:r>
      <w:hyperlink r:id="rId67">
        <w:r>
          <w:rPr>
            <w:rStyle w:val="Hyperlink"/>
          </w:rPr>
          <w:t xml:space="preserve">https://doi.org/10.1162/003355304772839605</w:t>
        </w:r>
      </w:hyperlink>
    </w:p>
    <w:bookmarkEnd w:id="68"/>
    <w:bookmarkStart w:id="70" w:name="ref-windmeijer2005"/>
    <w:p>
      <w:pPr>
        <w:pStyle w:val="Bibliography"/>
      </w:pPr>
      <w:r>
        <w:t xml:space="preserve">Windmeijer, F. (2005). A finite sample correction for the variance of linear efficient two-step</w:t>
      </w:r>
      <w:r>
        <w:t xml:space="preserve"> </w:t>
      </w:r>
      <w:r>
        <w:t xml:space="preserve">GMM</w:t>
      </w:r>
      <w:r>
        <w:t xml:space="preserve"> </w:t>
      </w:r>
      <w:r>
        <w:t xml:space="preserve">estimators.</w:t>
      </w:r>
      <w:r>
        <w:t xml:space="preserve"> </w:t>
      </w:r>
      <w:r>
        <w:rPr>
          <w:i/>
          <w:iCs/>
        </w:rPr>
        <w:t xml:space="preserve">Journal of Econometrics</w:t>
      </w:r>
      <w:r>
        <w:t xml:space="preserve">,</w:t>
      </w:r>
      <w:r>
        <w:t xml:space="preserve"> </w:t>
      </w:r>
      <w:r>
        <w:rPr>
          <w:i/>
          <w:iCs/>
        </w:rPr>
        <w:t xml:space="preserve">126</w:t>
      </w:r>
      <w:r>
        <w:t xml:space="preserve">(1), 25–51.</w:t>
      </w:r>
      <w:r>
        <w:t xml:space="preserve"> </w:t>
      </w:r>
      <w:hyperlink r:id="rId69">
        <w:r>
          <w:rPr>
            <w:rStyle w:val="Hyperlink"/>
          </w:rPr>
          <w:t xml:space="preserve">https://doi.org/10.1016/j.jeconom.2004.02.005</w:t>
        </w:r>
      </w:hyperlink>
    </w:p>
    <w:bookmarkEnd w:id="70"/>
    <w:bookmarkEnd w:id="71"/>
    <w:p>
      <w:r>
        <w:pict>
          <v:rect style="width:0;height:1.5pt" o:hralign="center" o:hrstd="t" o:hr="t"/>
        </w:pict>
      </w:r>
    </w:p>
    <w:p>
      <w:pPr>
        <w:pStyle w:val="FirstParagraph"/>
      </w:pPr>
      <w:r>
        <w:rPr>
          <w:i/>
          <w:iCs/>
        </w:rPr>
        <w:t xml:space="preserve">Author contributions (CRediT):</w:t>
      </w:r>
      <w:r>
        <w:t xml:space="preserve"> </w:t>
      </w:r>
      <w:r>
        <w:t xml:space="preserve">Conceptualization, M.G.Ö.; Data curation, M.G.Ö.; Formal analysis, M.G.Ö.; Methodology, M.G.Ö.; Writing – original draft, M.G.Ö.; Writing – review and editing, M.G.Ö.</w:t>
      </w:r>
    </w:p>
    <w:p>
      <w:pPr>
        <w:pStyle w:val="BodyText"/>
      </w:pPr>
      <w:r>
        <w:rPr>
          <w:i/>
          <w:iCs/>
        </w:rPr>
        <w:t xml:space="preserve">Competing interests:</w:t>
      </w:r>
      <w:r>
        <w:t xml:space="preserve"> </w:t>
      </w:r>
      <w:r>
        <w:t xml:space="preserve">The author declares no competing interests.</w:t>
      </w:r>
    </w:p>
    <w:p>
      <w:pPr>
        <w:pStyle w:val="BodyText"/>
      </w:pPr>
      <w:r>
        <w:rPr>
          <w:i/>
          <w:iCs/>
        </w:rPr>
        <w:t xml:space="preserve">Data availability:</w:t>
      </w:r>
      <w:r>
        <w:t xml:space="preserve"> </w:t>
      </w:r>
      <w:r>
        <w:t xml:space="preserve">World Bank WDI data are publicly available. Aizenman-Chinn-Ito trilemma indices are available at</w:t>
      </w:r>
      <w:r>
        <w:t xml:space="preserve"> </w:t>
      </w:r>
      <w:hyperlink r:id="rId14">
        <w:r>
          <w:rPr>
            <w:rStyle w:val="Hyperlink"/>
          </w:rPr>
          <w:t xml:space="preserve">web.pdx.edu/~ito/trilemma_indexes.htm</w:t>
        </w:r>
      </w:hyperlink>
      <w:r>
        <w:t xml:space="preserve">. Replication code will be deposited on GitHub/Zenodo upon acceptance.</w:t>
      </w:r>
    </w:p>
    <w:p>
      <w:pPr>
        <w:pStyle w:val="BodyText"/>
      </w:pPr>
      <w:r>
        <w:rPr>
          <w:i/>
          <w:iCs/>
        </w:rPr>
        <w:t xml:space="preserve">Acknowledgements:</w:t>
      </w:r>
      <w:r>
        <w:t xml:space="preserve"> </w:t>
      </w:r>
      <w:r>
        <w:t xml:space="preserve">None.</w:t>
      </w:r>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61" Target="https://doi.org/10.1002/ijfe.2737" TargetMode="External" /><Relationship Type="http://schemas.openxmlformats.org/officeDocument/2006/relationships/hyperlink" Id="rId65" Target="https://doi.org/10.1002/jae.951" TargetMode="External" /><Relationship Type="http://schemas.openxmlformats.org/officeDocument/2006/relationships/hyperlink" Id="rId51" Target="https://doi.org/10.1016/j.bir.2023.01.009" TargetMode="External" /><Relationship Type="http://schemas.openxmlformats.org/officeDocument/2006/relationships/hyperlink" Id="rId69" Target="https://doi.org/10.1016/j.jeconom.2004.02.005" TargetMode="External" /><Relationship Type="http://schemas.openxmlformats.org/officeDocument/2006/relationships/hyperlink" Id="rId41" Target="https://doi.org/10.1016/j.jimonfin.2010.01.005" TargetMode="External" /><Relationship Type="http://schemas.openxmlformats.org/officeDocument/2006/relationships/hyperlink" Id="rId59" Target="https://doi.org/10.1016/j.jimonfin.2024.103182" TargetMode="External" /><Relationship Type="http://schemas.openxmlformats.org/officeDocument/2006/relationships/hyperlink" Id="rId49" Target="https://doi.org/10.1086/261167" TargetMode="External" /><Relationship Type="http://schemas.openxmlformats.org/officeDocument/2006/relationships/hyperlink" Id="rId43" Target="https://doi.org/10.1111/roie.12047" TargetMode="External" /><Relationship Type="http://schemas.openxmlformats.org/officeDocument/2006/relationships/hyperlink" Id="rId67" Target="https://doi.org/10.1162/003355304772839605" TargetMode="External" /><Relationship Type="http://schemas.openxmlformats.org/officeDocument/2006/relationships/hyperlink" Id="rId53" Target="https://doi.org/10.1162/003465398557825" TargetMode="External" /><Relationship Type="http://schemas.openxmlformats.org/officeDocument/2006/relationships/hyperlink" Id="rId55" Target="https://doi.org/10.1257/jel.40.3.837" TargetMode="External" /><Relationship Type="http://schemas.openxmlformats.org/officeDocument/2006/relationships/hyperlink" Id="rId45" Target="https://doi.org/10.21105/joss.00848" TargetMode="External" /><Relationship Type="http://schemas.openxmlformats.org/officeDocument/2006/relationships/hyperlink" Id="rId47" Target="https://doi.org/10.2139/ssrn.5110065" TargetMode="External" /><Relationship Type="http://schemas.openxmlformats.org/officeDocument/2006/relationships/hyperlink" Id="rId63" Target="https://doi.org/10.2307/139336" TargetMode="External" /><Relationship Type="http://schemas.openxmlformats.org/officeDocument/2006/relationships/hyperlink" Id="rId57" Target="https://doi.org/10.2307/3866091" TargetMode="External" /><Relationship Type="http://schemas.openxmlformats.org/officeDocument/2006/relationships/hyperlink" Id="rId14" Target="https://web.pdx.edu/~ito/trilemma_indexes.htm" TargetMode="External" /></Relationships>
</file>

<file path=word/_rels/footnotes.xml.rels><?xml version="1.0" encoding="UTF-8"?><Relationships xmlns="http://schemas.openxmlformats.org/package/2006/relationships"><Relationship Type="http://schemas.openxmlformats.org/officeDocument/2006/relationships/hyperlink" Id="rId61" Target="https://doi.org/10.1002/ijfe.2737" TargetMode="External" /><Relationship Type="http://schemas.openxmlformats.org/officeDocument/2006/relationships/hyperlink" Id="rId65" Target="https://doi.org/10.1002/jae.951" TargetMode="External" /><Relationship Type="http://schemas.openxmlformats.org/officeDocument/2006/relationships/hyperlink" Id="rId51" Target="https://doi.org/10.1016/j.bir.2023.01.009" TargetMode="External" /><Relationship Type="http://schemas.openxmlformats.org/officeDocument/2006/relationships/hyperlink" Id="rId69" Target="https://doi.org/10.1016/j.jeconom.2004.02.005" TargetMode="External" /><Relationship Type="http://schemas.openxmlformats.org/officeDocument/2006/relationships/hyperlink" Id="rId41" Target="https://doi.org/10.1016/j.jimonfin.2010.01.005" TargetMode="External" /><Relationship Type="http://schemas.openxmlformats.org/officeDocument/2006/relationships/hyperlink" Id="rId59" Target="https://doi.org/10.1016/j.jimonfin.2024.103182" TargetMode="External" /><Relationship Type="http://schemas.openxmlformats.org/officeDocument/2006/relationships/hyperlink" Id="rId49" Target="https://doi.org/10.1086/261167" TargetMode="External" /><Relationship Type="http://schemas.openxmlformats.org/officeDocument/2006/relationships/hyperlink" Id="rId43" Target="https://doi.org/10.1111/roie.12047" TargetMode="External" /><Relationship Type="http://schemas.openxmlformats.org/officeDocument/2006/relationships/hyperlink" Id="rId67" Target="https://doi.org/10.1162/003355304772839605" TargetMode="External" /><Relationship Type="http://schemas.openxmlformats.org/officeDocument/2006/relationships/hyperlink" Id="rId53" Target="https://doi.org/10.1162/003465398557825" TargetMode="External" /><Relationship Type="http://schemas.openxmlformats.org/officeDocument/2006/relationships/hyperlink" Id="rId55" Target="https://doi.org/10.1257/jel.40.3.837" TargetMode="External" /><Relationship Type="http://schemas.openxmlformats.org/officeDocument/2006/relationships/hyperlink" Id="rId45" Target="https://doi.org/10.21105/joss.00848" TargetMode="External" /><Relationship Type="http://schemas.openxmlformats.org/officeDocument/2006/relationships/hyperlink" Id="rId47" Target="https://doi.org/10.2139/ssrn.5110065" TargetMode="External" /><Relationship Type="http://schemas.openxmlformats.org/officeDocument/2006/relationships/hyperlink" Id="rId63" Target="https://doi.org/10.2307/139336" TargetMode="External" /><Relationship Type="http://schemas.openxmlformats.org/officeDocument/2006/relationships/hyperlink" Id="rId57" Target="https://doi.org/10.2307/3866091" TargetMode="External" /><Relationship Type="http://schemas.openxmlformats.org/officeDocument/2006/relationships/hyperlink" Id="rId14" Target="https://web.pdx.edu/~ito/trilemma_indexes.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Trilemma Configuration and Chronic Inflation Traps in Developing Economies: Panel Evidence from 106 Countries, 1985–2020</dc:title>
  <dc:creator>Res. Asst. Dr. M. Gökhan Özdemir</dc:creator>
  <cp:keywords/>
  <dcterms:created xsi:type="dcterms:W3CDTF">2026-04-28T05:53:41Z</dcterms:created>
  <dcterms:modified xsi:type="dcterms:W3CDTF">2026-04-28T05:53:41Z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tests whether a country’s position along the impossible trinity dimensions — monetary independence (MII), exchange rate stability (ERS), and capital account openness (KAOPEN) — determines the probability of sustaining chronic inflation, defined as CPI growth exceeding 10% for three or more consecutive years. Using a panel of 106 developing and emerging economies over 1985–2020 (3,474 country-year observations on the primary CPI variable; estimation sample N = 2,505–3,153 after trilemma merge), we find that exchange rate stability is the dominant anti-inflation device: a one-standard-deviation increase in ERS reduces the chronic-inflation probability by 19.8 percentage points (RE Probit, APE). Contrary to the conventional credibility-loss mechanism, monetary independence exerts a positive effect on chronic inflation (APE = +18.3 pp), consistent with the Barro-Gordon time-inconsistency argument: central banks retaining full monetary discretion — without the commitment device of an exchange rate anchor — exploit the inflation-output tradeoff, generating an equilibrium with persistently elevated prices. Capital account openness reduces chronic inflation through market discipline (APE = −7.5 pp). These results are robust to alternative thresholds (7%, 15%), sub-periods (1985–2000, 2001–2010, 2011–2020), and regional subsamples. The findings imply that exchange rate anchoring, rather than monetary autonomy, is the primary trilemma instrument for eliminating chronic inflation in developing economies.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chronic_inf_trilemma.bib</vt:lpwstr>
  </property>
  <property fmtid="{D5CDD505-2E9C-101B-9397-08002B2CF9AE}" pid="7" name="by-affiliation">
    <vt:lpwstr/>
  </property>
  <property fmtid="{D5CDD505-2E9C-101B-9397-08002B2CF9AE}" pid="8" name="by-author">
    <vt:lpwstr/>
  </property>
  <property fmtid="{D5CDD505-2E9C-101B-9397-08002B2CF9AE}" pid="9" name="csl">
    <vt:lpwstr>apa.csl</vt:lpwstr>
  </property>
  <property fmtid="{D5CDD505-2E9C-101B-9397-08002B2CF9AE}" pid="10" name="date">
    <vt:lpwstr>2026-04-28</vt:lpwstr>
  </property>
  <property fmtid="{D5CDD505-2E9C-101B-9397-08002B2CF9AE}" pid="11" name="engine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jel">
    <vt:lpwstr>E31, E52, F41, F42, C33</vt:lpwstr>
  </property>
  <property fmtid="{D5CDD505-2E9C-101B-9397-08002B2CF9AE}" pid="17" name="labels">
    <vt:lpwstr/>
  </property>
  <property fmtid="{D5CDD505-2E9C-101B-9397-08002B2CF9AE}" pid="18" name="toc-title">
    <vt:lpwstr>Table of contents</vt:lpwstr>
  </property>
</Properties>
</file>