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Res. Asst. Dr. M. Gökhan Özdemir</w:t>
      </w:r>
    </w:p>
    <w:p>
      <w:pPr>
        <w:pStyle w:val="Date"/>
      </w:pPr>
      <w:r>
        <w:t xml:space="preserve">2026-04-28</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t xml:space="preserve">Argentina under President Carlos Menem offers a canonical within-country illustration of both mechanisms estimated below. Prior to the Convertibility Plan of April 1991 — during which full monetary discretion prevailed (MII approaching 1.0, ERS near zero) — Argentina experienced chronic hyperinflation, with CPI growth exceeding 1,000% annually in 1989–90 (World Bank WDI, indicator</w:t>
      </w:r>
      <w:r>
        <w:t xml:space="preserve"> </w:t>
      </w:r>
      <w:r>
        <w:rPr>
          <w:rStyle w:val="VerbatimChar"/>
        </w:rPr>
        <w:t xml:space="preserve">FP.CPI.TOTL.ZG</w:t>
      </w:r>
      <w:r>
        <w:t xml:space="preserve">). Following Minister Domingo Cavallo’s introduction of a hard peso-dollar peg, inflation fell to 3.4% by 1994</w:t>
      </w:r>
      <w:r>
        <w:t xml:space="preserve"> </w:t>
      </w:r>
      <w:r>
        <w:t xml:space="preserve">(Cavallo &amp; Cottani, 1997)</w:t>
      </w:r>
      <w:r>
        <w:t xml:space="preserve">. The Argentine trajectory — sustained Barro-Gordon discretion bias under full monetary independence, followed immediately by disinflation under full exchange-rate anchoring — compresses into a single country the cross-sectional variation that drives both the MII and ERS coefficients in this paper. Argentina is included in the N = 106 estimation sample; its influence is captured empirically rather than imposed as a narrative prior.</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+42.4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p>
      <w:pPr>
        <w:pStyle w:val="BodyText"/>
      </w:pPr>
      <w:r>
        <w:t xml:space="preserve">Rey (2016)</w:t>
      </w:r>
      <w:r>
        <w:t xml:space="preserve"> </w:t>
      </w:r>
      <w:r>
        <w:t xml:space="preserve">challenges the trilemma by showing that the global financial cycle — driven by US monetary policy — compresses monetary autonomy in open economies regardless of the exchange rate regime (the</w:t>
      </w:r>
      <w:r>
        <w:t xml:space="preserve"> </w:t>
      </w:r>
      <w:r>
        <w:t xml:space="preserve">“dilemma not trilemma”</w:t>
      </w:r>
      <w:r>
        <w:t xml:space="preserve"> </w:t>
      </w:r>
      <w:r>
        <w:t xml:space="preserve">hypothesis). Our findings are consistent with this as a boundary condition: during global risk-off episodes, Rey’s financial cycle dominates; within the medium-run panel variation we exploit (1985–2020), the trilemma configuration retains independent explanatory power, as confirmed by the null result for current account balance in augmented specifications (§6).</w:t>
      </w:r>
      <w:r>
        <w:t xml:space="preserve"> </w:t>
      </w:r>
      <w:r>
        <w:t xml:space="preserve">Klein &amp; Shambaugh (2015)</w:t>
      </w:r>
      <w:r>
        <w:t xml:space="preserve"> </w:t>
      </w:r>
      <w:r>
        <w:t xml:space="preserve">show that soft pegs yield intermediate monetary autonomy, which justifies our use of the continuous ERS index rather than a binary peg classification — the trilemma operates along a spectrum, not at discrete corners.</w:t>
      </w:r>
    </w:p>
    <w:p>
      <w:pPr>
        <w:pStyle w:val="BodyText"/>
      </w:pPr>
      <w:r>
        <w:t xml:space="preserve">Farhi &amp; Werning (2014)</w:t>
      </w:r>
      <w:r>
        <w:t xml:space="preserve"> </w:t>
      </w:r>
      <w:r>
        <w:t xml:space="preserve">extend the Rey dilemma by demonstrating that optimal capital controls are welfare-improving</w:t>
      </w:r>
      <w:r>
        <w:t xml:space="preserve"> </w:t>
      </w:r>
      <w:r>
        <w:rPr>
          <w:i/>
          <w:iCs/>
        </w:rPr>
        <w:t xml:space="preserve">even under flexible exchange rates</w:t>
      </w:r>
      <w:r>
        <w:t xml:space="preserve"> </w:t>
      </w:r>
      <w:r>
        <w:t xml:space="preserve">when capital flows are volatile — a finding that directly motivates our use of KAOPEN as a separate trilemma dimension rather than treating exchange rate flexibility as a sufficient statistic for monetary autonomy.</w:t>
      </w:r>
      <w:r>
        <w:t xml:space="preserve"> </w:t>
      </w:r>
      <w:r>
        <w:t xml:space="preserve">Bianchi &amp; Coulibaly (2025)</w:t>
      </w:r>
      <w:r>
        <w:t xml:space="preserve"> </w:t>
      </w:r>
      <w:r>
        <w:t xml:space="preserve">establish a complementary theoretical result: in the presence of occasionally binding collateral constraints, exchange rate depreciation is contractionary in emerging market economies, rationalising the empirically documented</w:t>
      </w:r>
      <w:r>
        <w:t xml:space="preserve"> </w:t>
      </w:r>
      <w:r>
        <w:rPr>
          <w:i/>
          <w:iCs/>
        </w:rPr>
        <w:t xml:space="preserve">fear of floating</w:t>
      </w:r>
      <w:r>
        <w:t xml:space="preserve"> </w:t>
      </w:r>
      <w:r>
        <w:t xml:space="preserve">that dominates our ERS distribution. Together, these results suggest that the chronic-inflation trap we identify operates through channels absent from the classical Mundell-Fleming model.</w:t>
      </w:r>
      <w:r>
        <w:t xml:space="preserve"> </w:t>
      </w:r>
      <w:r>
        <w:t xml:space="preserve">Gourinchas (2023)</w:t>
      </w:r>
      <w:r>
        <w:t xml:space="preserve"> </w:t>
      </w:r>
      <w:r>
        <w:t xml:space="preserve">surveys the post-GFC evolution of open-economy macroeconomics — from dominant currency pricing to global financial cycles — and identifies the absence of a systematic treatment of chronic high-inflation dynamics as a gap in the modern successor framework to Mundell-Fleming, a gap the present paper addresses.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2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 The Shambaugh peg indicator (</w:t>
      </w:r>
      <w:r>
        <w:rPr>
          <w:rStyle w:val="VerbatimChar"/>
        </w:rPr>
        <w:t xml:space="preserve">kspeg</w:t>
      </w:r>
      <w:r>
        <w:t xml:space="preserve">) is merged to the panel (N = 2,302 observations, 92 countries after singleton removal; peg coverage = 87.6%). FE-2SLS results (country + year FE, cluster-robust Kleibergen-Paap): FS-F = 905.95 (</w:t>
      </w:r>
      <m:oMath>
        <m:r>
          <m:t>p</m:t>
        </m:r>
        <m:r>
          <m:rPr>
            <m:sty m:val="p"/>
          </m:rPr>
          <m:t>&lt;</m:t>
        </m:r>
        <m:r>
          <m:t>0.001</m:t>
        </m:r>
      </m:oMath>
      <w:r>
        <w:t xml:space="preserve">), confirming instrument strength well above the Stock-Yogo 5% maximal-size threshold of 16.38. The IV-FE estimate for ERS is β = −1.110*** (SE = 0.230,</w:t>
      </w:r>
      <w:r>
        <w:t xml:space="preserve"> </w:t>
      </w:r>
      <m:oMath>
        <m:r>
          <m:t>p</m:t>
        </m:r>
        <m:r>
          <m:rPr>
            <m:sty m:val="p"/>
          </m:rPr>
          <m:t>&lt;</m:t>
        </m:r>
        <m:r>
          <m:t>0.001</m:t>
        </m:r>
      </m:oMath>
      <w:r>
        <w:t xml:space="preserve">), larger in magnitude than the OLS-FE estimate (β = −0.795**</w:t>
      </w:r>
      <w:r>
        <w:rPr>
          <w:i/>
          <w:iCs/>
        </w:rPr>
        <w:t xml:space="preserve">) — consistent with attenuation bias in OLS due to measurement error in the continuous ERS index. MII (β = −0.127, ns) and KAOPEN (β = −0.699</w:t>
      </w:r>
      <w:r>
        <w:t xml:space="preserve">,</w:t>
      </w:r>
      <w:r>
        <w:t xml:space="preserve"> </w:t>
      </w:r>
      <m:oMath>
        <m:r>
          <m:t>p</m:t>
        </m:r>
        <m:r>
          <m:rPr>
            <m:sty m:val="p"/>
          </m:rPr>
          <m:t>=</m:t>
        </m:r>
        <m:r>
          <m:t>0.017</m:t>
        </m:r>
      </m:oMath>
      <w:r>
        <w:t xml:space="preserve">) retain their signs. The IV results therefore confirm the causal interpretation of ERS as the dominant anti-inflation trilemma instrument</w:t>
      </w:r>
      <w:r>
        <w:t xml:space="preserve"> </w:t>
      </w:r>
      <w:r>
        <w:t xml:space="preserve">(Klein &amp; Shambaugh, 2015)</w:t>
      </w:r>
      <w:r>
        <w:t xml:space="preserve">.</w:t>
      </w:r>
    </w:p>
    <w:bookmarkEnd w:id="27"/>
    <w:bookmarkEnd w:id="28"/>
    <w:bookmarkStart w:id="33" w:name="results"/>
    <w:p>
      <w:pPr>
        <w:pStyle w:val="Heading1"/>
      </w:pPr>
      <w:r>
        <w:t xml:space="preserve">5. Results</w:t>
      </w:r>
    </w:p>
    <w:bookmarkStart w:id="31"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and</w:t>
      </w:r>
      <w:r>
        <w:t xml:space="preserve"> </w:t>
      </w:r>
      <w:r>
        <w:rPr>
          <w:rStyle w:val="VerbatimChar"/>
        </w:rPr>
        <w:t xml:space="preserve">pvargmm</w:t>
      </w:r>
      <w:r>
        <w:t xml:space="preserve"> </w:t>
      </w:r>
      <w:r>
        <w:t xml:space="preserve">(Sigmund &amp; Ferstl, 2021)</w:t>
      </w:r>
      <w:r>
        <w:t xml:space="preserve"> </w:t>
      </w:r>
      <w:r>
        <w:t xml:space="preserve">across multiple lag configurations, including lag-3 and lag-4 starts designed to bypass second-order autocorrelation. Across all specifications, Arellano-Bond tests reject instrument validity at orders 2 and 3 — AR(2):</w:t>
      </w:r>
      <w:r>
        <w:t xml:space="preserve"> </w:t>
      </w:r>
      <m:oMath>
        <m:r>
          <m:t>z</m:t>
        </m:r>
        <m:r>
          <m:rPr>
            <m:sty m:val="p"/>
          </m:rPr>
          <m:t>=</m:t>
        </m:r>
        <m:r>
          <m:rPr>
            <m:sty m:val="p"/>
          </m:rPr>
          <m:t>−</m:t>
        </m:r>
        <m:r>
          <m:t>1.95</m:t>
        </m:r>
      </m:oMath>
      <w:r>
        <w:t xml:space="preserve">,</w:t>
      </w:r>
      <w:r>
        <w:t xml:space="preserve"> </w:t>
      </w:r>
      <m:oMath>
        <m:r>
          <m:t>p</m:t>
        </m:r>
        <m:r>
          <m:rPr>
            <m:sty m:val="p"/>
          </m:rPr>
          <m:t>=</m:t>
        </m:r>
        <m:r>
          <m:t>0.051</m:t>
        </m:r>
      </m:oMath>
      <w:r>
        <w:t xml:space="preserve">; AR(3):</w:t>
      </w:r>
      <w:r>
        <w:t xml:space="preserve"> </w:t>
      </w:r>
      <m:oMath>
        <m:r>
          <m:t>z</m:t>
        </m:r>
        <m:r>
          <m:rPr>
            <m:sty m:val="p"/>
          </m:rPr>
          <m:t>=</m:t>
        </m:r>
        <m:r>
          <m:t>2.00</m:t>
        </m:r>
      </m:oMath>
      <w:r>
        <w:t xml:space="preserve">,</w:t>
      </w:r>
      <w:r>
        <w:t xml:space="preserve"> </w:t>
      </w:r>
      <m:oMath>
        <m:r>
          <m:t>p</m:t>
        </m:r>
        <m:r>
          <m:rPr>
            <m:sty m:val="p"/>
          </m:rPr>
          <m:t>=</m:t>
        </m:r>
        <m:r>
          <m:t>0.045</m:t>
        </m:r>
      </m:oMath>
      <w:r>
        <w:t xml:space="preserve"> </w:t>
      </w:r>
      <w:r>
        <w:t xml:space="preserve">— and Sargan overidentification tests fail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lag-3 collapsed specification). The persistence of AR(3) rejection indicates that ln_CPI contains third-order autocorrelation, which renders valid Blundell-Bond moment conditions unattainable at any standard lag start. Despite instrument invalidity, ERS is consistently negative and significant across all attempted GMM specifications (</w:t>
      </w:r>
      <m:oMath>
        <m:r>
          <m:t>b</m:t>
        </m:r>
      </m:oMath>
      <w:r>
        <w:t xml:space="preserve"> </w:t>
      </w:r>
      <w:r>
        <w:t xml:space="preserve">ranging from</w:t>
      </w:r>
      <w:r>
        <w:t xml:space="preserve"> </w:t>
      </w:r>
      <m:oMath>
        <m:r>
          <m:rPr>
            <m:sty m:val="p"/>
          </m:rPr>
          <m:t>−</m:t>
        </m:r>
        <m:r>
          <m:t>0.405</m:t>
        </m:r>
      </m:oMath>
      <w:r>
        <w:t xml:space="preserve"> </w:t>
      </w:r>
      <w:r>
        <w:t xml:space="preserve">to</w:t>
      </w:r>
      <w:r>
        <w:t xml:space="preserve"> </w:t>
      </w:r>
      <m:oMath>
        <m:r>
          <m:rPr>
            <m:sty m:val="p"/>
          </m:rPr>
          <m:t>−</m:t>
        </m:r>
        <m:r>
          <m:t>0.523</m:t>
        </m:r>
      </m:oMath>
      <w:r>
        <w:t xml:space="preserve">,</w:t>
      </w:r>
      <w:r>
        <w:t xml:space="preserve"> </w:t>
      </w:r>
      <m:oMath>
        <m:r>
          <m:t>p</m:t>
        </m:r>
        <m:r>
          <m:rPr>
            <m:sty m:val="p"/>
          </m:rPr>
          <m:t>&lt;</m:t>
        </m:r>
        <m:r>
          <m:t>0.001</m:t>
        </m:r>
      </m:oMath>
      <w:r>
        <w:t xml:space="preserve">), corroborating the Probit and FE results. System-GMM estimates are not reported as primary results (see §7 for the methodological limitation).</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1"/>
    <w:bookmarkStart w:id="32"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p>
      <w:pPr>
        <w:pStyle w:val="BodyText"/>
      </w:pPr>
      <w:r>
        <w:t xml:space="preserve">Argentina’s 1989–1994 trajectory provides a country-level benchmark for this magnitude. A shift from full monetary independence (MII ≈ 1.0, ERS ≈ 0) to a hard peg (ERS ≈ 1.0) under the Convertibility Plan</w:t>
      </w:r>
      <w:r>
        <w:t xml:space="preserve"> </w:t>
      </w:r>
      <w:r>
        <w:t xml:space="preserve">(Cavallo &amp; Cottani, 1997; De la Torre et al., 2003)</w:t>
      </w:r>
      <w:r>
        <w:t xml:space="preserve"> </w:t>
      </w:r>
      <w:r>
        <w:t xml:space="preserve">was associated with a CPI decline from hyperinflationary levels exceeding 1,000% to 3.4% within three years (World Bank WDI). This disinflation is consistent with the 19.8 pp APE estimated in the full cross-section and with the −32.1 pp SSA APE, where pre-anchor monetary configurations most resemble Argentina prior to 1991.</w:t>
      </w:r>
    </w:p>
    <w:bookmarkEnd w:id="32"/>
    <w:bookmarkEnd w:id="33"/>
    <w:bookmarkStart w:id="40" w:name="robustness"/>
    <w:p>
      <w:pPr>
        <w:pStyle w:val="Heading1"/>
      </w:pPr>
      <w:r>
        <w:t xml:space="preserve">6. Robustness</w:t>
      </w:r>
    </w:p>
    <w:bookmarkStart w:id="34"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4"/>
    <w:bookmarkStart w:id="35"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+42.4</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Argentina’s hyperinflationary episode (CPI exceeding 1,000% annually in 1989–90, World Bank WDI) followed by rapid disinflation under the Convertibility Plan represents the archetype of the full-MII → chronic-inflation mechanism within this subsample</w:t>
      </w:r>
      <w:r>
        <w:t xml:space="preserve"> </w:t>
      </w:r>
      <w:r>
        <w:t xml:space="preserve">(De la Torre et al., 2003)</w:t>
      </w:r>
      <w:r>
        <w:t xml:space="preserve">. ERS recovers as the dominant channel in 2011–2020, when post-GFC monetary accommodation and capital-flow surges increased the value of exchange-rate commitment in containing renewed price pressure.</w:t>
      </w:r>
    </w:p>
    <w:bookmarkEnd w:id="35"/>
    <w:bookmarkStart w:id="36"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6"/>
    <w:bookmarkStart w:id="37" w:name="bop-channel-current-account-balance"/>
    <w:p>
      <w:pPr>
        <w:pStyle w:val="Heading2"/>
      </w:pPr>
      <w:r>
        <w:t xml:space="preserve">6.4 BOP Channel: Current Account Balance</w:t>
      </w:r>
    </w:p>
    <w:p>
      <w:pPr>
        <w:pStyle w:val="FirstParagraph"/>
      </w:pPr>
      <w:r>
        <w:t xml:space="preserve">Rey (2016)</w:t>
      </w:r>
      <w:r>
        <w:t xml:space="preserve"> </w:t>
      </w:r>
      <w:r>
        <w:t xml:space="preserve">argues that the global financial cycle compresses the trilemma to a dilemma: with open capital accounts, even floating-rate economies lose monetary independence during global risk-off episodes, implying that BOP dynamics may confound the trilemma–inflation relationship.</w:t>
      </w:r>
      <w:r>
        <w:t xml:space="preserve"> </w:t>
      </w:r>
      <w:r>
        <w:t xml:space="preserve">Klein &amp; Shambaugh (2015)</w:t>
      </w:r>
      <w:r>
        <w:t xml:space="preserve"> </w:t>
      </w:r>
      <w:r>
        <w:t xml:space="preserve">further show that soft pegs deliver intermediate monetary autonomy, suggesting the ERS channel operates through BOP adjustment (reserve accumulation, sterilisation) rather than through the discrete peg-or-float distinction captured by binary instruments. To test whether our findings are robust to BOP confounding, we augment Model A2 with the current account balance (CA/GDP) sourced from World Bank WDI (</w:t>
      </w:r>
      <w:r>
        <w:rPr>
          <w:rStyle w:val="VerbatimChar"/>
        </w:rPr>
        <w:t xml:space="preserve">BN.CAB.XOKA.GD.ZS</w:t>
      </w:r>
      <w:r>
        <w:t xml:space="preserve">; 86.7% coverage, 3,279 non-missing observations in the estimation sample).</w:t>
      </w:r>
    </w:p>
    <w:p>
      <w:pPr>
        <w:pStyle w:val="BodyText"/>
      </w:pPr>
      <w:r>
        <w:t xml:space="preserve">The CA/GDP coefficient is small, positive, and statistically insignificant (β = +0.004, p = 0.534, APE = +0.06 pp). The three main trilemma effects are unchanged: MII APE = +16.1 pp (p &lt; 0.001), ERS APE = −18.9 pp (p &lt; 0.001), KAOPEN APE = −10.0 pp (p &lt; 0.001). In the FE log-CPI specification, CA/GDP similarly fails to predict inflation (β = −0.004, ns), while ERS (β = −0.813**</w:t>
      </w:r>
      <w:r>
        <w:rPr>
          <w:i/>
          <w:iCs/>
        </w:rPr>
        <w:t xml:space="preserve">) and KAOPEN (β = −0.722</w:t>
      </w:r>
      <w:r>
        <w:t xml:space="preserve">) remain stable. These null results are informative: the trilemma configuration determines chronic inflation</w:t>
      </w:r>
      <w:r>
        <w:t xml:space="preserve"> </w:t>
      </w:r>
      <w:r>
        <w:rPr>
          <w:i/>
          <w:iCs/>
        </w:rPr>
        <w:t xml:space="preserve">through the monetary and commitment channels</w:t>
      </w:r>
      <w:r>
        <w:t xml:space="preserve">, not through BOP pressure operating via reserve depletion or external financing constraints. The</w:t>
      </w:r>
      <w:r>
        <w:t xml:space="preserve"> </w:t>
      </w:r>
      <w:r>
        <w:t xml:space="preserve">Rey (2016)</w:t>
      </w:r>
      <w:r>
        <w:t xml:space="preserve"> </w:t>
      </w:r>
      <w:r>
        <w:t xml:space="preserve">dilemma mechanism therefore operates as a boundary condition (particularly during global crisis episodes) rather than as a systematic confounder in our 1985–2020 panel.</w:t>
      </w:r>
    </w:p>
    <w:bookmarkEnd w:id="37"/>
    <w:bookmarkStart w:id="38" w:name="X4f986fef94ab266d97cb500ce0bbac0852a67ff"/>
    <w:p>
      <w:pPr>
        <w:pStyle w:val="Heading2"/>
      </w:pPr>
      <w:r>
        <w:t xml:space="preserve">6.5 Global Financial Cycle: VIX Interaction Test</w:t>
      </w:r>
    </w:p>
    <w:p>
      <w:pPr>
        <w:pStyle w:val="FirstParagraph"/>
      </w:pPr>
      <w:r>
        <w:t xml:space="preserve">The BOP-channel null result does not preclude a</w:t>
      </w:r>
      <w:r>
        <w:t xml:space="preserve"> </w:t>
      </w:r>
      <w:r>
        <w:rPr>
          <w:i/>
          <w:iCs/>
        </w:rPr>
        <w:t xml:space="preserve">time-varying</w:t>
      </w:r>
      <w:r>
        <w:t xml:space="preserve"> </w:t>
      </w:r>
      <w:r>
        <w:t xml:space="preserve">constraint on trilemma policy space.</w:t>
      </w:r>
      <w:r>
        <w:t xml:space="preserve"> </w:t>
      </w:r>
      <w:r>
        <w:t xml:space="preserve">Rey (2016)</w:t>
      </w:r>
      <w:r>
        <w:t xml:space="preserve"> </w:t>
      </w:r>
      <w:r>
        <w:t xml:space="preserve">and</w:t>
      </w:r>
      <w:r>
        <w:t xml:space="preserve"> </w:t>
      </w:r>
      <w:r>
        <w:t xml:space="preserve">Farhi &amp; Werning (2014)</w:t>
      </w:r>
      <w:r>
        <w:t xml:space="preserve">, who explicitly titled their contribution</w:t>
      </w:r>
      <w:r>
        <w:t xml:space="preserve"> </w:t>
      </w:r>
      <w:r>
        <w:t xml:space="preserve">“Dilemma Not Trilemma?”</w:t>
      </w:r>
      <w:r>
        <w:t xml:space="preserve">, argue that global financial cycle (GFC) episodes compress monetary autonomy regardless of the exchange-rate regime, implying that trilemma effects may be attenuated during periods of elevated global risk aversion. To test this formally, we construct an annual VIX proxy — the CBOE Volatility Index, standardised to zero mean and unit variance over 1990–2020 — and augment the full-control Probit (Model A2) with three VIX–trilemma interaction terms (</w:t>
      </w:r>
      <m:oMath>
        <m:r>
          <m:rPr>
            <m:nor/>
            <m:sty m:val="p"/>
          </m:rPr>
          <m:t>MII</m:t>
        </m:r>
        <m:r>
          <m:rPr>
            <m:sty m:val="p"/>
          </m:rPr>
          <m:t>×</m:t>
        </m:r>
        <m:r>
          <m:rPr>
            <m:nor/>
            <m:sty m:val="p"/>
          </m:rPr>
          <m:t>VIX</m:t>
        </m:r>
      </m:oMath>
      <w:r>
        <w:t xml:space="preserve">,</w:t>
      </w:r>
      <w:r>
        <w:t xml:space="preserve"> </w:t>
      </w:r>
      <m:oMath>
        <m:r>
          <m:rPr>
            <m:nor/>
            <m:sty m:val="p"/>
          </m:rPr>
          <m:t>ERS</m:t>
        </m:r>
        <m:r>
          <m:rPr>
            <m:sty m:val="p"/>
          </m:rPr>
          <m:t>×</m:t>
        </m:r>
        <m:r>
          <m:rPr>
            <m:nor/>
            <m:sty m:val="p"/>
          </m:rPr>
          <m:t>VIX</m:t>
        </m:r>
      </m:oMath>
      <w:r>
        <w:t xml:space="preserve">,</w:t>
      </w:r>
      <w:r>
        <w:t xml:space="preserve"> </w:t>
      </w:r>
      <m:oMath>
        <m:r>
          <m:rPr>
            <m:nor/>
            <m:sty m:val="p"/>
          </m:rPr>
          <m:t>KAOPEN</m:t>
        </m:r>
        <m:r>
          <m:rPr>
            <m:sty m:val="p"/>
          </m:rPr>
          <m:t>×</m:t>
        </m:r>
        <m:r>
          <m:rPr>
            <m:nor/>
            <m:sty m:val="p"/>
          </m:rPr>
          <m:t>VIX</m:t>
        </m:r>
      </m:oMath>
      <w:r>
        <w:t xml:space="preserve">).</w:t>
      </w:r>
    </w:p>
    <w:p>
      <w:pPr>
        <w:pStyle w:val="BodyText"/>
      </w:pPr>
      <w:r>
        <w:t xml:space="preserve">Across the full sample, higher VIX is associated with</w:t>
      </w:r>
      <w:r>
        <w:t xml:space="preserve"> </w:t>
      </w:r>
      <w:r>
        <w:rPr>
          <w:i/>
          <w:iCs/>
        </w:rPr>
        <w:t xml:space="preserve">lower</w:t>
      </w:r>
      <w:r>
        <w:t xml:space="preserve"> </w:t>
      </w:r>
      <w:r>
        <w:t xml:space="preserve">chronic-inflation probability (</w:t>
      </w:r>
      <m:oMath>
        <m:r>
          <m:t>β</m:t>
        </m:r>
        <m:r>
          <m:rPr>
            <m:sty m:val="p"/>
          </m:rPr>
          <m:t>=</m:t>
        </m:r>
        <m:r>
          <m:rPr>
            <m:sty m:val="p"/>
          </m:rPr>
          <m:t>−</m:t>
        </m:r>
        <m:r>
          <m:t>2.551</m:t>
        </m:r>
      </m:oMath>
      <w:r>
        <w:t xml:space="preserve">,</w:t>
      </w:r>
      <w:r>
        <w:t xml:space="preserve"> </w:t>
      </w:r>
      <m:oMath>
        <m:r>
          <m:t>p</m:t>
        </m:r>
        <m:r>
          <m:rPr>
            <m:sty m:val="p"/>
          </m:rPr>
          <m:t>=</m:t>
        </m:r>
        <m:r>
          <m:t>0.011</m:t>
        </m:r>
      </m:oMath>
      <w:r>
        <w:t xml:space="preserve">), consistent with the demand-compression channel: global stress episodes (GFC 2008–09, COVID-19 2020) coincide with commodity-price collapses that temporarily suppress EME inflation. Among the three interaction terms, only</w:t>
      </w:r>
      <w:r>
        <w:t xml:space="preserve"> </w:t>
      </w:r>
      <m:oMath>
        <m:r>
          <m:rPr>
            <m:nor/>
            <m:sty m:val="p"/>
          </m:rPr>
          <m:t>ERS</m:t>
        </m:r>
        <m:r>
          <m:rPr>
            <m:sty m:val="p"/>
          </m:rPr>
          <m:t>×</m:t>
        </m:r>
        <m:r>
          <m:rPr>
            <m:nor/>
            <m:sty m:val="p"/>
          </m:rPr>
          <m:t>VIX</m:t>
        </m:r>
      </m:oMath>
      <w:r>
        <w:t xml:space="preserve"> </w:t>
      </w:r>
      <w:r>
        <w:t xml:space="preserve">is statistically significant (</w:t>
      </w:r>
      <m:oMath>
        <m:r>
          <m:t>β</m:t>
        </m:r>
        <m:r>
          <m:rPr>
            <m:sty m:val="p"/>
          </m:rPr>
          <m:t>=</m:t>
        </m:r>
        <m:r>
          <m:rPr>
            <m:sty m:val="p"/>
          </m:rPr>
          <m:t>+</m:t>
        </m:r>
        <m:r>
          <m:t>0.334</m:t>
        </m:r>
      </m:oMath>
      <w:r>
        <w:t xml:space="preserve">,</w:t>
      </w:r>
      <w:r>
        <w:t xml:space="preserve"> </w:t>
      </w:r>
      <m:oMath>
        <m:r>
          <m:t>p</m:t>
        </m:r>
        <m:r>
          <m:rPr>
            <m:sty m:val="p"/>
          </m:rPr>
          <m:t>=</m:t>
        </m:r>
        <m:r>
          <m:t>0.027</m:t>
        </m:r>
      </m:oMath>
      <w:r>
        <w:t xml:space="preserve">). Under normal global conditions (VIX at sample mean), the ERS protective effect is</w:t>
      </w:r>
      <w:r>
        <w:t xml:space="preserve"> </w:t>
      </w:r>
      <m:oMath>
        <m:r>
          <m:rPr>
            <m:sty m:val="p"/>
          </m:rPr>
          <m:t>−</m:t>
        </m:r>
        <m:r>
          <m:t>19.8</m:t>
        </m:r>
      </m:oMath>
      <w:r>
        <w:t xml:space="preserve"> </w:t>
      </w:r>
      <w:r>
        <w:t xml:space="preserve">pp; when global financial stress rises by one standard deviation, the ERS APE weakens to</w:t>
      </w:r>
      <w:r>
        <w:t xml:space="preserve"> </w:t>
      </w:r>
      <m:oMath>
        <m:r>
          <m:rPr>
            <m:sty m:val="p"/>
          </m:rPr>
          <m:t>−</m:t>
        </m:r>
        <m:r>
          <m:t>14.3</m:t>
        </m:r>
      </m:oMath>
      <w:r>
        <w:t xml:space="preserve"> </w:t>
      </w:r>
      <w:r>
        <w:t xml:space="preserve">pp — a 28 per cent attenuation. The MII</w:t>
      </w:r>
      <m:oMath>
        <m:r>
          <m:rPr>
            <m:sty m:val="p"/>
          </m:rPr>
          <m:t>×</m:t>
        </m:r>
      </m:oMath>
      <w:r>
        <w:t xml:space="preserve">VIX (</w:t>
      </w:r>
      <m:oMath>
        <m:r>
          <m:t>p</m:t>
        </m:r>
        <m:r>
          <m:rPr>
            <m:sty m:val="p"/>
          </m:rPr>
          <m:t>=</m:t>
        </m:r>
        <m:r>
          <m:t>0.246</m:t>
        </m:r>
      </m:oMath>
      <w:r>
        <w:t xml:space="preserve">) and KAOPEN</w:t>
      </w:r>
      <m:oMath>
        <m:r>
          <m:rPr>
            <m:sty m:val="p"/>
          </m:rPr>
          <m:t>×</m:t>
        </m:r>
      </m:oMath>
      <w:r>
        <w:t xml:space="preserve">VIX (</w:t>
      </w:r>
      <m:oMath>
        <m:r>
          <m:t>p</m:t>
        </m:r>
        <m:r>
          <m:rPr>
            <m:sty m:val="p"/>
          </m:rPr>
          <m:t>=</m:t>
        </m:r>
        <m:r>
          <m:t>0.346</m:t>
        </m:r>
      </m:oMath>
      <w:r>
        <w:t xml:space="preserve">) interactions are not significant, indicating that Barro-Gordon bias and capital-account discipline are invariant to the global financial cycle. The three interactions are jointly marginally significant (LR</w:t>
      </w:r>
      <w:r>
        <w:t xml:space="preserve"> </w:t>
      </w:r>
      <m:oMath>
        <m:sSup>
          <m:e>
            <m:r>
              <m:t>χ</m:t>
            </m:r>
          </m:e>
          <m:sup>
            <m:r>
              <m:t>2</m:t>
            </m:r>
          </m:sup>
        </m:sSup>
        <m:r>
          <m:rPr>
            <m:sty m:val="p"/>
          </m:rPr>
          <m:t>(</m:t>
        </m:r>
        <m:r>
          <m:t>3</m:t>
        </m:r>
        <m:r>
          <m:rPr>
            <m:sty m:val="p"/>
          </m:rPr>
          <m:t>)</m:t>
        </m:r>
        <m:r>
          <m:rPr>
            <m:sty m:val="p"/>
          </m:rPr>
          <m:t>=</m:t>
        </m:r>
        <m:r>
          <m:t>6.56</m:t>
        </m:r>
      </m:oMath>
      <w:r>
        <w:t xml:space="preserve">,</w:t>
      </w:r>
      <w:r>
        <w:t xml:space="preserve"> </w:t>
      </w:r>
      <m:oMath>
        <m:r>
          <m:t>p</m:t>
        </m:r>
        <m:r>
          <m:rPr>
            <m:sty m:val="p"/>
          </m:rPr>
          <m:t>=</m:t>
        </m:r>
        <m:r>
          <m:t>0.087</m:t>
        </m:r>
      </m:oMath>
      <w:r>
        <w:t xml:space="preserve">).</w:t>
      </w:r>
    </w:p>
    <w:p>
      <w:pPr>
        <w:pStyle w:val="BodyText"/>
      </w:pPr>
      <w:r>
        <w:t xml:space="preserve">These results provide</w:t>
      </w:r>
      <w:r>
        <w:t xml:space="preserve"> </w:t>
      </w:r>
      <w:r>
        <w:rPr>
          <w:i/>
          <w:iCs/>
        </w:rPr>
        <w:t xml:space="preserve">partial</w:t>
      </w:r>
      <w:r>
        <w:t xml:space="preserve"> </w:t>
      </w:r>
      <w:r>
        <w:t xml:space="preserve">support for the Rey dilemma hypothesis: ERS-based nominal anchoring loses approximately one-quarter of its chronic-inflation protection during global risk-off episodes, consistent with devaluation pressure on nominally stable currencies under capital outflows</w:t>
      </w:r>
      <w:r>
        <w:t xml:space="preserve"> </w:t>
      </w:r>
      <w:r>
        <w:t xml:space="preserve">(Bianchi &amp; Coulibaly, 2025; Gourinchas, 2023)</w:t>
      </w:r>
      <w:r>
        <w:t xml:space="preserve">. However, the trilemma is not fully compressed to a dilemma: ERS retains a −14.3 pp APE even under elevated stress, and the incomplete joint significance (</w:t>
      </w:r>
      <m:oMath>
        <m:r>
          <m:t>p</m:t>
        </m:r>
        <m:r>
          <m:rPr>
            <m:sty m:val="p"/>
          </m:rPr>
          <m:t>=</m:t>
        </m:r>
        <m:r>
          <m:t>0.087</m:t>
        </m:r>
      </m:oMath>
      <w:r>
        <w:t xml:space="preserve">) counsels caution. The global financial cycle modulates the trilemma constraint rather than replacing it — a boundary condition rather than a structural break in the institutional-commitment mechanism.</w:t>
      </w:r>
    </w:p>
    <w:bookmarkEnd w:id="38"/>
    <w:bookmarkStart w:id="39" w:name="inflation-persistence"/>
    <w:p>
      <w:pPr>
        <w:pStyle w:val="Heading2"/>
      </w:pPr>
      <w:r>
        <w:t xml:space="preserve">6.6 Inflation Persistence</w:t>
      </w:r>
    </w:p>
    <w:p>
      <w:pPr>
        <w:pStyle w:val="FirstParagraph"/>
      </w:pPr>
      <w:r>
        <w:t xml:space="preserve">Using the pre-computed rolling AR(1) coefficient of CPI as a continuous dependent variable in a two-way FE regression (country + year) with clustered standard errors, none of the trilemma indices is statistically significant: MII (</w:t>
      </w:r>
      <m:oMath>
        <m:r>
          <m:t>b</m:t>
        </m:r>
        <m:r>
          <m:rPr>
            <m:sty m:val="p"/>
          </m:rPr>
          <m:t>=</m:t>
        </m:r>
        <m:r>
          <m:rPr>
            <m:sty m:val="p"/>
          </m:rPr>
          <m:t>−</m:t>
        </m:r>
        <m:r>
          <m:t>0.063</m:t>
        </m:r>
      </m:oMath>
      <w:r>
        <w:t xml:space="preserve">,</w:t>
      </w:r>
      <w:r>
        <w:t xml:space="preserve"> </w:t>
      </w:r>
      <m:oMath>
        <m:r>
          <m:t>p</m:t>
        </m:r>
        <m:r>
          <m:rPr>
            <m:sty m:val="p"/>
          </m:rPr>
          <m:t>=</m:t>
        </m:r>
        <m:r>
          <m:t>0.119</m:t>
        </m:r>
      </m:oMath>
      <w:r>
        <w:t xml:space="preserve">), ERS (</w:t>
      </w:r>
      <m:oMath>
        <m:r>
          <m:t>b</m:t>
        </m:r>
        <m:r>
          <m:rPr>
            <m:sty m:val="p"/>
          </m:rPr>
          <m:t>=</m:t>
        </m:r>
        <m:r>
          <m:rPr>
            <m:sty m:val="p"/>
          </m:rPr>
          <m:t>−</m:t>
        </m:r>
        <m:r>
          <m:t>0.056</m:t>
        </m:r>
      </m:oMath>
      <w:r>
        <w:t xml:space="preserve">,</w:t>
      </w:r>
      <w:r>
        <w:t xml:space="preserve"> </w:t>
      </w:r>
      <m:oMath>
        <m:r>
          <m:t>p</m:t>
        </m:r>
        <m:r>
          <m:rPr>
            <m:sty m:val="p"/>
          </m:rPr>
          <m:t>=</m:t>
        </m:r>
        <m:r>
          <m:t>0.227</m:t>
        </m:r>
      </m:oMath>
      <w:r>
        <w:t xml:space="preserve">), KAOPEN (</w:t>
      </w:r>
      <m:oMath>
        <m:r>
          <m:t>b</m:t>
        </m:r>
        <m:r>
          <m:rPr>
            <m:sty m:val="p"/>
          </m:rPr>
          <m:t>=</m:t>
        </m:r>
        <m:r>
          <m:rPr>
            <m:sty m:val="p"/>
          </m:rPr>
          <m:t>+</m:t>
        </m:r>
        <m:r>
          <m:t>0.016</m:t>
        </m:r>
      </m:oMath>
      <w:r>
        <w:t xml:space="preserve">,</w:t>
      </w:r>
      <w:r>
        <w:t xml:space="preserve"> </w:t>
      </w:r>
      <m:oMath>
        <m:r>
          <m:t>p</m:t>
        </m:r>
        <m:r>
          <m:rPr>
            <m:sty m:val="p"/>
          </m:rPr>
          <m:t>=</m:t>
        </m:r>
        <m:r>
          <m:t>0.825</m:t>
        </m:r>
      </m:oMath>
      <w:r>
        <w:t xml:space="preserve">);</w:t>
      </w:r>
      <w:r>
        <w:t xml:space="preserve"> </w:t>
      </w:r>
      <m:oMath>
        <m:r>
          <m:t>N</m:t>
        </m:r>
        <m:r>
          <m:rPr>
            <m:sty m:val="p"/>
          </m:rPr>
          <m:t>=</m:t>
        </m:r>
        <m:r>
          <m:t>1</m:t>
        </m:r>
        <m:r>
          <m:rPr>
            <m:sty m:val="p"/>
          </m:rPr>
          <m:t>,</m:t>
        </m:r>
        <m:r>
          <m:t>220</m:t>
        </m:r>
      </m:oMath>
      <w:r>
        <w:t xml:space="preserve"> </w:t>
      </w:r>
      <w:r>
        <w:t xml:space="preserve">country-year observations (92 countries, 16 years).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9"/>
    <w:bookmarkEnd w:id="40"/>
    <w:bookmarkStart w:id="41"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+42.4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 A VIX-interaction test partially supports the Rey (2016) dilemma hypothesis: ERS anchor efficacy is attenuated by approximately 28 per cent when global financial stress rises by one standard deviation, though the trilemma is not fully compressed to a dilemma and the joint interaction test is only marginally significant (</w:t>
      </w:r>
      <m:oMath>
        <m:r>
          <m:t>p</m:t>
        </m:r>
        <m:r>
          <m:rPr>
            <m:sty m:val="p"/>
          </m:rPr>
          <m:t>=</m:t>
        </m:r>
        <m:r>
          <m:t>0.087</m:t>
        </m:r>
      </m:oMath>
      <w:r>
        <w:t xml:space="preserve">).</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the FE-2SLS IV specification using the Shambaugh (2004) base-country peg produces a strong first stage (FS-F = 905.95) and confirms the causal ERS effect (β = −1.110***); however, the exclusion restriction — that base-country linkages affect chronic inflation only through ERS — relies on historical and political assignment and cannot be directly tested. Fourth, System-GMM estimation (Blundell-Bond, collapsed instruments with lag-3 and lag-4 starts) was attempted but is not reported: Arellano-Bond tests reject at orders 2 (</w:t>
      </w:r>
      <m:oMath>
        <m:r>
          <m:t>z</m:t>
        </m:r>
        <m:r>
          <m:rPr>
            <m:sty m:val="p"/>
          </m:rPr>
          <m:t>=</m:t>
        </m:r>
        <m:r>
          <m:rPr>
            <m:sty m:val="p"/>
          </m:rPr>
          <m:t>−</m:t>
        </m:r>
        <m:r>
          <m:t>1.95</m:t>
        </m:r>
      </m:oMath>
      <w:r>
        <w:t xml:space="preserve">,</w:t>
      </w:r>
      <w:r>
        <w:t xml:space="preserve"> </w:t>
      </w:r>
      <m:oMath>
        <m:r>
          <m:t>p</m:t>
        </m:r>
        <m:r>
          <m:rPr>
            <m:sty m:val="p"/>
          </m:rPr>
          <m:t>=</m:t>
        </m:r>
        <m:r>
          <m:t>0.051</m:t>
        </m:r>
      </m:oMath>
      <w:r>
        <w:t xml:space="preserve">) and 3 (</w:t>
      </w:r>
      <m:oMath>
        <m:r>
          <m:t>z</m:t>
        </m:r>
        <m:r>
          <m:rPr>
            <m:sty m:val="p"/>
          </m:rPr>
          <m:t>=</m:t>
        </m:r>
        <m:r>
          <m:t>2.00</m:t>
        </m:r>
      </m:oMath>
      <w:r>
        <w:t xml:space="preserve">,</w:t>
      </w:r>
      <w:r>
        <w:t xml:space="preserve"> </w:t>
      </w:r>
      <m:oMath>
        <m:r>
          <m:t>p</m:t>
        </m:r>
        <m:r>
          <m:rPr>
            <m:sty m:val="p"/>
          </m:rPr>
          <m:t>=</m:t>
        </m:r>
        <m:r>
          <m:t>0.045</m:t>
        </m:r>
      </m:oMath>
      <w:r>
        <w:t xml:space="preserve">), and the Sargan test fails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even under the most conservative lag-3 collapsed specification. Third-order autocorrelation in ln_CPI indicates that valid Blundell-Bond moment conditions cannot be achieved at any standard lag start; the dynamic misspecification likely reflects the long memory of institutional inflation regimes. Notably, ERS remains negative and statistically significant (</w:t>
      </w:r>
      <m:oMath>
        <m:r>
          <m:t>b</m:t>
        </m:r>
        <m:r>
          <m:rPr>
            <m:sty m:val="p"/>
          </m:rPr>
          <m:t>∈</m:t>
        </m:r>
        <m:r>
          <m:rPr>
            <m:sty m:val="p"/>
          </m:rPr>
          <m:t>[</m:t>
        </m:r>
        <m:r>
          <m:rPr>
            <m:sty m:val="p"/>
          </m:rPr>
          <m:t>−</m:t>
        </m:r>
        <m:r>
          <m:t>0.41</m:t>
        </m:r>
        <m:r>
          <m:rPr>
            <m:sty m:val="p"/>
          </m:rPr>
          <m:t>,</m:t>
        </m:r>
        <m:r>
          <m:rPr>
            <m:sty m:val="p"/>
          </m:rPr>
          <m:t>−</m:t>
        </m:r>
        <m:r>
          <m:t>0.52</m:t>
        </m:r>
        <m:r>
          <m:rPr>
            <m:sty m:val="p"/>
          </m:rPr>
          <m:t>]</m:t>
        </m:r>
      </m:oMath>
      <w:r>
        <w:t xml:space="preserve">,</w:t>
      </w:r>
      <w:r>
        <w:t xml:space="preserve"> </w:t>
      </w:r>
      <m:oMath>
        <m:r>
          <m:t>p</m:t>
        </m:r>
        <m:r>
          <m:rPr>
            <m:sty m:val="p"/>
          </m:rPr>
          <m:t>&lt;</m:t>
        </m:r>
        <m:r>
          <m:t>0.001</m:t>
        </m:r>
      </m:oMath>
      <w:r>
        <w:t xml:space="preserve">) across all attempted GMM specifications, corroborating the Probit and FE estimates. Stata xtabond2 estimation and the Shambaugh (2004) IV/2SLS specification remain directions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41"/>
    <w:bookmarkStart w:id="93" w:name="references"/>
    <w:p>
      <w:pPr>
        <w:pStyle w:val="Heading1"/>
      </w:pPr>
      <w:r>
        <w:t xml:space="preserve">8. References</w:t>
      </w:r>
    </w:p>
    <w:bookmarkStart w:id="92" w:name="refs"/>
    <w:bookmarkStart w:id="43"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2">
        <w:r>
          <w:rPr>
            <w:rStyle w:val="Hyperlink"/>
          </w:rPr>
          <w:t xml:space="preserve">https://doi.org/10.1016/j.jimonfin.2010.01.005</w:t>
        </w:r>
      </w:hyperlink>
    </w:p>
    <w:bookmarkEnd w:id="43"/>
    <w:bookmarkStart w:id="45"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4">
        <w:r>
          <w:rPr>
            <w:rStyle w:val="Hyperlink"/>
          </w:rPr>
          <w:t xml:space="preserve">https://doi.org/10.1111/roie.12047</w:t>
        </w:r>
      </w:hyperlink>
    </w:p>
    <w:bookmarkEnd w:id="45"/>
    <w:bookmarkStart w:id="47"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6">
        <w:r>
          <w:rPr>
            <w:rStyle w:val="Hyperlink"/>
          </w:rPr>
          <w:t xml:space="preserve">https://doi.org/10.21105/joss.00848</w:t>
        </w:r>
      </w:hyperlink>
    </w:p>
    <w:bookmarkEnd w:id="47"/>
    <w:bookmarkStart w:id="49"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8">
        <w:r>
          <w:rPr>
            <w:rStyle w:val="Hyperlink"/>
          </w:rPr>
          <w:t xml:space="preserve">https://doi.org/10.2139/ssrn.5110065</w:t>
        </w:r>
      </w:hyperlink>
    </w:p>
    <w:bookmarkEnd w:id="49"/>
    <w:bookmarkStart w:id="51"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50">
        <w:r>
          <w:rPr>
            <w:rStyle w:val="Hyperlink"/>
          </w:rPr>
          <w:t xml:space="preserve">https://doi.org/10.1086/261167</w:t>
        </w:r>
      </w:hyperlink>
    </w:p>
    <w:bookmarkEnd w:id="51"/>
    <w:bookmarkStart w:id="53" w:name="ref-bianchiCoulibaly2025"/>
    <w:p>
      <w:pPr>
        <w:pStyle w:val="Bibliography"/>
      </w:pPr>
      <w:r>
        <w:t xml:space="preserve">Bianchi, J., &amp; Coulibaly, L. (2025). A theory of fear of floating.</w:t>
      </w:r>
      <w:r>
        <w:t xml:space="preserve"> </w:t>
      </w:r>
      <w:r>
        <w:rPr>
          <w:i/>
          <w:iCs/>
        </w:rPr>
        <w:t xml:space="preserve">Journal of Monetary Economics</w:t>
      </w:r>
      <w:r>
        <w:t xml:space="preserve">,</w:t>
      </w:r>
      <w:r>
        <w:t xml:space="preserve"> </w:t>
      </w:r>
      <w:r>
        <w:rPr>
          <w:i/>
          <w:iCs/>
        </w:rPr>
        <w:t xml:space="preserve">157</w:t>
      </w:r>
      <w:r>
        <w:t xml:space="preserve">, 103869.</w:t>
      </w:r>
      <w:r>
        <w:t xml:space="preserve"> </w:t>
      </w:r>
      <w:hyperlink r:id="rId52">
        <w:r>
          <w:rPr>
            <w:rStyle w:val="Hyperlink"/>
          </w:rPr>
          <w:t xml:space="preserve">https://doi.org/10.1016/j.jmoneco.2025.103869</w:t>
        </w:r>
      </w:hyperlink>
    </w:p>
    <w:bookmarkEnd w:id="53"/>
    <w:bookmarkStart w:id="55" w:name="ref-cavalloContani1997"/>
    <w:p>
      <w:pPr>
        <w:pStyle w:val="Bibliography"/>
      </w:pPr>
      <w:r>
        <w:t xml:space="preserve">Cavallo, D. F., &amp; Cottani, J. A. (1997). Argentina’s convertibility plan and the</w:t>
      </w:r>
      <w:r>
        <w:t xml:space="preserve"> </w:t>
      </w:r>
      <w:r>
        <w:t xml:space="preserve">IMF</w:t>
      </w:r>
      <w:r>
        <w:t xml:space="preserve">.</w:t>
      </w:r>
      <w:r>
        <w:t xml:space="preserve"> </w:t>
      </w:r>
      <w:r>
        <w:rPr>
          <w:i/>
          <w:iCs/>
        </w:rPr>
        <w:t xml:space="preserve">American Economic Review</w:t>
      </w:r>
      <w:r>
        <w:t xml:space="preserve">,</w:t>
      </w:r>
      <w:r>
        <w:t xml:space="preserve"> </w:t>
      </w:r>
      <w:r>
        <w:rPr>
          <w:i/>
          <w:iCs/>
        </w:rPr>
        <w:t xml:space="preserve">87</w:t>
      </w:r>
      <w:r>
        <w:t xml:space="preserve">(2), 17–22.</w:t>
      </w:r>
      <w:r>
        <w:t xml:space="preserve"> </w:t>
      </w:r>
      <w:hyperlink r:id="rId54">
        <w:r>
          <w:rPr>
            <w:rStyle w:val="Hyperlink"/>
          </w:rPr>
          <w:t xml:space="preserve">https://ideas.repec.org/a/aea/aecrev/v87y1997i2p17-22.html</w:t>
        </w:r>
      </w:hyperlink>
    </w:p>
    <w:bookmarkEnd w:id="55"/>
    <w:bookmarkStart w:id="57"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6">
        <w:r>
          <w:rPr>
            <w:rStyle w:val="Hyperlink"/>
          </w:rPr>
          <w:t xml:space="preserve">https://doi.org/10.1016/j.bir.2023.01.009</w:t>
        </w:r>
      </w:hyperlink>
    </w:p>
    <w:bookmarkEnd w:id="57"/>
    <w:bookmarkStart w:id="59"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8">
        <w:r>
          <w:rPr>
            <w:rStyle w:val="Hyperlink"/>
          </w:rPr>
          <w:t xml:space="preserve">https://doi.org/10.18637/jss.v027.i02</w:t>
        </w:r>
      </w:hyperlink>
    </w:p>
    <w:bookmarkEnd w:id="59"/>
    <w:bookmarkStart w:id="61" w:name="ref-delaTorre2003"/>
    <w:p>
      <w:pPr>
        <w:pStyle w:val="Bibliography"/>
      </w:pPr>
      <w:r>
        <w:t xml:space="preserve">De la Torre, A., Levy Yeyati, E., &amp; Schmukler, S. L. (2003). Living and dying with hard pegs: The rise and fall of argentina’s currency board.</w:t>
      </w:r>
      <w:r>
        <w:t xml:space="preserve"> </w:t>
      </w:r>
      <w:r>
        <w:rPr>
          <w:i/>
          <w:iCs/>
        </w:rPr>
        <w:t xml:space="preserve">Econom</w:t>
      </w:r>
      <w:r>
        <w:rPr>
          <w:i/>
          <w:iCs/>
        </w:rPr>
        <w:t xml:space="preserve">í</w:t>
      </w:r>
      <w:r>
        <w:rPr>
          <w:i/>
          <w:iCs/>
        </w:rPr>
        <w:t xml:space="preserve">a</w:t>
      </w:r>
      <w:r>
        <w:t xml:space="preserve">,</w:t>
      </w:r>
      <w:r>
        <w:t xml:space="preserve"> </w:t>
      </w:r>
      <w:r>
        <w:rPr>
          <w:i/>
          <w:iCs/>
        </w:rPr>
        <w:t xml:space="preserve">3</w:t>
      </w:r>
      <w:r>
        <w:t xml:space="preserve">(2), 43–99.</w:t>
      </w:r>
      <w:r>
        <w:t xml:space="preserve"> </w:t>
      </w:r>
      <w:hyperlink r:id="rId60">
        <w:r>
          <w:rPr>
            <w:rStyle w:val="Hyperlink"/>
          </w:rPr>
          <w:t xml:space="preserve">https://doi.org/10.1353/eco.2003.0010</w:t>
        </w:r>
      </w:hyperlink>
    </w:p>
    <w:bookmarkEnd w:id="61"/>
    <w:bookmarkStart w:id="63"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62">
        <w:r>
          <w:rPr>
            <w:rStyle w:val="Hyperlink"/>
          </w:rPr>
          <w:t xml:space="preserve">https://doi.org/10.1162/003465398557825</w:t>
        </w:r>
      </w:hyperlink>
    </w:p>
    <w:bookmarkEnd w:id="63"/>
    <w:bookmarkStart w:id="65" w:name="ref-farhiWerning2014"/>
    <w:p>
      <w:pPr>
        <w:pStyle w:val="Bibliography"/>
      </w:pPr>
      <w:r>
        <w:t xml:space="preserve">Farhi, E., &amp; Werning, I. (2014). Dilemma not trilemma? Capital controls and exchange rates with volatile capital flows.</w:t>
      </w:r>
      <w:r>
        <w:t xml:space="preserve"> </w:t>
      </w:r>
      <w:r>
        <w:rPr>
          <w:i/>
          <w:iCs/>
        </w:rPr>
        <w:t xml:space="preserve">IMF Economic Review</w:t>
      </w:r>
      <w:r>
        <w:t xml:space="preserve">,</w:t>
      </w:r>
      <w:r>
        <w:t xml:space="preserve"> </w:t>
      </w:r>
      <w:r>
        <w:rPr>
          <w:i/>
          <w:iCs/>
        </w:rPr>
        <w:t xml:space="preserve">62</w:t>
      </w:r>
      <w:r>
        <w:t xml:space="preserve">(4), 569–605.</w:t>
      </w:r>
      <w:r>
        <w:t xml:space="preserve"> </w:t>
      </w:r>
      <w:hyperlink r:id="rId64">
        <w:r>
          <w:rPr>
            <w:rStyle w:val="Hyperlink"/>
          </w:rPr>
          <w:t xml:space="preserve">https://doi.org/10.1057/imfer.2014.25</w:t>
        </w:r>
      </w:hyperlink>
    </w:p>
    <w:bookmarkEnd w:id="65"/>
    <w:bookmarkStart w:id="67"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66">
        <w:r>
          <w:rPr>
            <w:rStyle w:val="Hyperlink"/>
          </w:rPr>
          <w:t xml:space="preserve">https://doi.org/10.1257/jel.40.3.837</w:t>
        </w:r>
      </w:hyperlink>
    </w:p>
    <w:bookmarkEnd w:id="67"/>
    <w:bookmarkStart w:id="69"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68">
        <w:r>
          <w:rPr>
            <w:rStyle w:val="Hyperlink"/>
          </w:rPr>
          <w:t xml:space="preserve">https://doi.org/10.2307/3866091</w:t>
        </w:r>
      </w:hyperlink>
    </w:p>
    <w:bookmarkEnd w:id="69"/>
    <w:bookmarkStart w:id="71"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70">
        <w:r>
          <w:rPr>
            <w:rStyle w:val="Hyperlink"/>
          </w:rPr>
          <w:t xml:space="preserve">https://doi.org/10.32614/RJ-2021-035</w:t>
        </w:r>
      </w:hyperlink>
    </w:p>
    <w:bookmarkEnd w:id="71"/>
    <w:bookmarkStart w:id="73" w:name="ref-gourinchas2023"/>
    <w:p>
      <w:pPr>
        <w:pStyle w:val="Bibliography"/>
      </w:pPr>
      <w:r>
        <w:t xml:space="preserve">Gourinchas, P.-O. (2023). International macroeconomics: From the great financial crisis to</w:t>
      </w:r>
      <w:r>
        <w:t xml:space="preserve"> </w:t>
      </w:r>
      <w:r>
        <w:t xml:space="preserve">COVID</w:t>
      </w:r>
      <w:r>
        <w:t xml:space="preserve">-19, and beyond.</w:t>
      </w:r>
      <w:r>
        <w:t xml:space="preserve"> </w:t>
      </w:r>
      <w:r>
        <w:rPr>
          <w:i/>
          <w:iCs/>
        </w:rPr>
        <w:t xml:space="preserve">IMF Economic Review</w:t>
      </w:r>
      <w:r>
        <w:t xml:space="preserve">,</w:t>
      </w:r>
      <w:r>
        <w:t xml:space="preserve"> </w:t>
      </w:r>
      <w:r>
        <w:rPr>
          <w:i/>
          <w:iCs/>
        </w:rPr>
        <w:t xml:space="preserve">71</w:t>
      </w:r>
      <w:r>
        <w:t xml:space="preserve">(1), 1–34.</w:t>
      </w:r>
      <w:r>
        <w:t xml:space="preserve"> </w:t>
      </w:r>
      <w:hyperlink r:id="rId72">
        <w:r>
          <w:rPr>
            <w:rStyle w:val="Hyperlink"/>
          </w:rPr>
          <w:t xml:space="preserve">https://doi.org/10.1057/s41308-022-00171-x</w:t>
        </w:r>
      </w:hyperlink>
    </w:p>
    <w:bookmarkEnd w:id="73"/>
    <w:bookmarkStart w:id="75"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74">
        <w:r>
          <w:rPr>
            <w:rStyle w:val="Hyperlink"/>
          </w:rPr>
          <w:t xml:space="preserve">https://doi.org/10.1016/j.jimonfin.2024.103182</w:t>
        </w:r>
      </w:hyperlink>
    </w:p>
    <w:bookmarkEnd w:id="75"/>
    <w:bookmarkStart w:id="77" w:name="ref-kleinShambaugh2015"/>
    <w:p>
      <w:pPr>
        <w:pStyle w:val="Bibliography"/>
      </w:pPr>
      <w:r>
        <w:t xml:space="preserve">Klein, M. W., &amp; Shambaugh, J. C. (2015). Rounding the corners of the policy trilemma: Sources of monetary policy autonomy.</w:t>
      </w:r>
      <w:r>
        <w:t xml:space="preserve"> </w:t>
      </w:r>
      <w:r>
        <w:rPr>
          <w:i/>
          <w:iCs/>
        </w:rPr>
        <w:t xml:space="preserve">American Economic Journal: Macroeconomics</w:t>
      </w:r>
      <w:r>
        <w:t xml:space="preserve">,</w:t>
      </w:r>
      <w:r>
        <w:t xml:space="preserve"> </w:t>
      </w:r>
      <w:r>
        <w:rPr>
          <w:i/>
          <w:iCs/>
        </w:rPr>
        <w:t xml:space="preserve">7</w:t>
      </w:r>
      <w:r>
        <w:t xml:space="preserve">(4), 33–66.</w:t>
      </w:r>
      <w:r>
        <w:t xml:space="preserve"> </w:t>
      </w:r>
      <w:hyperlink r:id="rId76">
        <w:r>
          <w:rPr>
            <w:rStyle w:val="Hyperlink"/>
          </w:rPr>
          <w:t xml:space="preserve">https://doi.org/10.1257/mac.20130237</w:t>
        </w:r>
      </w:hyperlink>
    </w:p>
    <w:bookmarkEnd w:id="77"/>
    <w:bookmarkStart w:id="79"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78">
        <w:r>
          <w:rPr>
            <w:rStyle w:val="Hyperlink"/>
          </w:rPr>
          <w:t xml:space="preserve">https://doi.org/10.1002/ijfe.2737</w:t>
        </w:r>
      </w:hyperlink>
    </w:p>
    <w:bookmarkEnd w:id="79"/>
    <w:bookmarkStart w:id="81"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80">
        <w:r>
          <w:rPr>
            <w:rStyle w:val="Hyperlink"/>
          </w:rPr>
          <w:t xml:space="preserve">https://doi.org/10.2307/139336</w:t>
        </w:r>
      </w:hyperlink>
    </w:p>
    <w:bookmarkEnd w:id="81"/>
    <w:bookmarkStart w:id="83"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82">
        <w:r>
          <w:rPr>
            <w:rStyle w:val="Hyperlink"/>
          </w:rPr>
          <w:t xml:space="preserve">https://doi.org/10.1002/jae.951</w:t>
        </w:r>
      </w:hyperlink>
    </w:p>
    <w:bookmarkEnd w:id="83"/>
    <w:bookmarkStart w:id="85" w:name="ref-rey2016"/>
    <w:p>
      <w:pPr>
        <w:pStyle w:val="Bibliography"/>
      </w:pPr>
      <w:r>
        <w:t xml:space="preserve">Rey, H. (2016). International channels of transmission of monetary policy and the</w:t>
      </w:r>
      <w:r>
        <w:t xml:space="preserve"> </w:t>
      </w:r>
      <w:r>
        <w:t xml:space="preserve">Mundellian</w:t>
      </w:r>
      <w:r>
        <w:t xml:space="preserve"> </w:t>
      </w:r>
      <w:r>
        <w:t xml:space="preserve">trilemma.</w:t>
      </w:r>
      <w:r>
        <w:t xml:space="preserve"> </w:t>
      </w:r>
      <w:r>
        <w:rPr>
          <w:i/>
          <w:iCs/>
        </w:rPr>
        <w:t xml:space="preserve">IMF Economic Review</w:t>
      </w:r>
      <w:r>
        <w:t xml:space="preserve">,</w:t>
      </w:r>
      <w:r>
        <w:t xml:space="preserve"> </w:t>
      </w:r>
      <w:r>
        <w:rPr>
          <w:i/>
          <w:iCs/>
        </w:rPr>
        <w:t xml:space="preserve">64</w:t>
      </w:r>
      <w:r>
        <w:t xml:space="preserve">(1), 6–35.</w:t>
      </w:r>
      <w:r>
        <w:t xml:space="preserve"> </w:t>
      </w:r>
      <w:hyperlink r:id="rId84">
        <w:r>
          <w:rPr>
            <w:rStyle w:val="Hyperlink"/>
          </w:rPr>
          <w:t xml:space="preserve">https://doi.org/10.1057/imfer.2016.4</w:t>
        </w:r>
      </w:hyperlink>
    </w:p>
    <w:bookmarkEnd w:id="85"/>
    <w:bookmarkStart w:id="87"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86">
        <w:r>
          <w:rPr>
            <w:rStyle w:val="Hyperlink"/>
          </w:rPr>
          <w:t xml:space="preserve">https://doi.org/10.1162/003355304772839605</w:t>
        </w:r>
      </w:hyperlink>
    </w:p>
    <w:bookmarkEnd w:id="87"/>
    <w:bookmarkStart w:id="89" w:name="ref-sigmundFerstl2021"/>
    <w:p>
      <w:pPr>
        <w:pStyle w:val="Bibliography"/>
      </w:pPr>
      <w:r>
        <w:t xml:space="preserve">Sigmund, M., &amp; Ferstl, R. (2021). Panel vector autoregression in</w:t>
      </w:r>
      <w:r>
        <w:t xml:space="preserve"> </w:t>
      </w:r>
      <w:r>
        <w:t xml:space="preserve">R</w:t>
      </w:r>
      <w:r>
        <w:t xml:space="preserve"> </w:t>
      </w:r>
      <w:r>
        <w:t xml:space="preserve">with the package panelvar.</w:t>
      </w:r>
      <w:r>
        <w:t xml:space="preserve"> </w:t>
      </w:r>
      <w:r>
        <w:rPr>
          <w:i/>
          <w:iCs/>
        </w:rPr>
        <w:t xml:space="preserve">Quarterly Review of Economics and Finance</w:t>
      </w:r>
      <w:r>
        <w:t xml:space="preserve">,</w:t>
      </w:r>
      <w:r>
        <w:t xml:space="preserve"> </w:t>
      </w:r>
      <w:r>
        <w:rPr>
          <w:i/>
          <w:iCs/>
        </w:rPr>
        <w:t xml:space="preserve">80</w:t>
      </w:r>
      <w:r>
        <w:t xml:space="preserve">, 693–720.</w:t>
      </w:r>
      <w:r>
        <w:t xml:space="preserve"> </w:t>
      </w:r>
      <w:hyperlink r:id="rId88">
        <w:r>
          <w:rPr>
            <w:rStyle w:val="Hyperlink"/>
          </w:rPr>
          <w:t xml:space="preserve">https://doi.org/10.1016/j.qref.2019.01.001</w:t>
        </w:r>
      </w:hyperlink>
    </w:p>
    <w:bookmarkEnd w:id="89"/>
    <w:bookmarkStart w:id="91"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90">
        <w:r>
          <w:rPr>
            <w:rStyle w:val="Hyperlink"/>
          </w:rPr>
          <w:t xml:space="preserve">https://doi.org/10.1016/j.jeconom.2004.02.005</w:t>
        </w:r>
      </w:hyperlink>
    </w:p>
    <w:bookmarkEnd w:id="91"/>
    <w:bookmarkEnd w:id="92"/>
    <w:p>
      <w:r>
        <w:pict>
          <v:rect style="width:0;height:1.5pt" o:hralign="center" o:hrstd="t" o:hr="t"/>
        </w:pict>
      </w:r>
    </w:p>
    <w:p>
      <w:pPr>
        <w:pStyle w:val="FirstParagraph"/>
      </w:pPr>
      <w:r>
        <w:rPr>
          <w:i/>
          <w:iCs/>
        </w:rPr>
        <w:t xml:space="preserve">Author contributions (CRediT):</w:t>
      </w:r>
      <w:r>
        <w:t xml:space="preserve"> </w:t>
      </w:r>
      <w:r>
        <w:t xml:space="preserve">Conceptualization, M.G.Ö.; Data curation, M.G.Ö.; Formal analysis, M.G.Ö.; Methodology, M.G.Ö.; Writing – original draft, M.G.Ö.; Writing – review and editing, M.G.Ö.</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78" Target="https://doi.org/10.1002/ijfe.2737" TargetMode="External" /><Relationship Type="http://schemas.openxmlformats.org/officeDocument/2006/relationships/hyperlink" Id="rId82" Target="https://doi.org/10.1002/jae.951" TargetMode="External" /><Relationship Type="http://schemas.openxmlformats.org/officeDocument/2006/relationships/hyperlink" Id="rId56" Target="https://doi.org/10.1016/j.bir.2023.01.009" TargetMode="External" /><Relationship Type="http://schemas.openxmlformats.org/officeDocument/2006/relationships/hyperlink" Id="rId90" Target="https://doi.org/10.1016/j.jeconom.2004.02.005" TargetMode="External" /><Relationship Type="http://schemas.openxmlformats.org/officeDocument/2006/relationships/hyperlink" Id="rId42" Target="https://doi.org/10.1016/j.jimonfin.2010.01.005" TargetMode="External" /><Relationship Type="http://schemas.openxmlformats.org/officeDocument/2006/relationships/hyperlink" Id="rId74" Target="https://doi.org/10.1016/j.jimonfin.2024.103182" TargetMode="External" /><Relationship Type="http://schemas.openxmlformats.org/officeDocument/2006/relationships/hyperlink" Id="rId52" Target="https://doi.org/10.1016/j.jmoneco.2025.103869" TargetMode="External" /><Relationship Type="http://schemas.openxmlformats.org/officeDocument/2006/relationships/hyperlink" Id="rId88" Target="https://doi.org/10.1016/j.qref.2019.01.001" TargetMode="External" /><Relationship Type="http://schemas.openxmlformats.org/officeDocument/2006/relationships/hyperlink" Id="rId64" Target="https://doi.org/10.1057/imfer.2014.25" TargetMode="External" /><Relationship Type="http://schemas.openxmlformats.org/officeDocument/2006/relationships/hyperlink" Id="rId84" Target="https://doi.org/10.1057/imfer.2016.4" TargetMode="External" /><Relationship Type="http://schemas.openxmlformats.org/officeDocument/2006/relationships/hyperlink" Id="rId72" Target="https://doi.org/10.1057/s41308-022-00171-x" TargetMode="External" /><Relationship Type="http://schemas.openxmlformats.org/officeDocument/2006/relationships/hyperlink" Id="rId50" Target="https://doi.org/10.1086/261167" TargetMode="External" /><Relationship Type="http://schemas.openxmlformats.org/officeDocument/2006/relationships/hyperlink" Id="rId44" Target="https://doi.org/10.1111/roie.12047" TargetMode="External" /><Relationship Type="http://schemas.openxmlformats.org/officeDocument/2006/relationships/hyperlink" Id="rId86" Target="https://doi.org/10.1162/003355304772839605" TargetMode="External" /><Relationship Type="http://schemas.openxmlformats.org/officeDocument/2006/relationships/hyperlink" Id="rId62" Target="https://doi.org/10.1162/003465398557825" TargetMode="External" /><Relationship Type="http://schemas.openxmlformats.org/officeDocument/2006/relationships/hyperlink" Id="rId66" Target="https://doi.org/10.1257/jel.40.3.837" TargetMode="External" /><Relationship Type="http://schemas.openxmlformats.org/officeDocument/2006/relationships/hyperlink" Id="rId76" Target="https://doi.org/10.1257/mac.20130237" TargetMode="External" /><Relationship Type="http://schemas.openxmlformats.org/officeDocument/2006/relationships/hyperlink" Id="rId60" Target="https://doi.org/10.1353/eco.2003.0010" TargetMode="External" /><Relationship Type="http://schemas.openxmlformats.org/officeDocument/2006/relationships/hyperlink" Id="rId58" Target="https://doi.org/10.18637/jss.v027.i02" TargetMode="External" /><Relationship Type="http://schemas.openxmlformats.org/officeDocument/2006/relationships/hyperlink" Id="rId46" Target="https://doi.org/10.21105/joss.00848" TargetMode="External" /><Relationship Type="http://schemas.openxmlformats.org/officeDocument/2006/relationships/hyperlink" Id="rId48" Target="https://doi.org/10.2139/ssrn.5110065" TargetMode="External" /><Relationship Type="http://schemas.openxmlformats.org/officeDocument/2006/relationships/hyperlink" Id="rId80" Target="https://doi.org/10.2307/139336" TargetMode="External" /><Relationship Type="http://schemas.openxmlformats.org/officeDocument/2006/relationships/hyperlink" Id="rId68" Target="https://doi.org/10.2307/3866091" TargetMode="External" /><Relationship Type="http://schemas.openxmlformats.org/officeDocument/2006/relationships/hyperlink" Id="rId70" Target="https://doi.org/10.32614/RJ-2021-035" TargetMode="External" /><Relationship Type="http://schemas.openxmlformats.org/officeDocument/2006/relationships/hyperlink" Id="rId54" Target="https://ideas.repec.org/a/aea/aecrev/v87y1997i2p17-22.html"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ijfe.2737" TargetMode="External" /><Relationship Type="http://schemas.openxmlformats.org/officeDocument/2006/relationships/hyperlink" Id="rId82" Target="https://doi.org/10.1002/jae.951" TargetMode="External" /><Relationship Type="http://schemas.openxmlformats.org/officeDocument/2006/relationships/hyperlink" Id="rId56" Target="https://doi.org/10.1016/j.bir.2023.01.009" TargetMode="External" /><Relationship Type="http://schemas.openxmlformats.org/officeDocument/2006/relationships/hyperlink" Id="rId90" Target="https://doi.org/10.1016/j.jeconom.2004.02.005" TargetMode="External" /><Relationship Type="http://schemas.openxmlformats.org/officeDocument/2006/relationships/hyperlink" Id="rId42" Target="https://doi.org/10.1016/j.jimonfin.2010.01.005" TargetMode="External" /><Relationship Type="http://schemas.openxmlformats.org/officeDocument/2006/relationships/hyperlink" Id="rId74" Target="https://doi.org/10.1016/j.jimonfin.2024.103182" TargetMode="External" /><Relationship Type="http://schemas.openxmlformats.org/officeDocument/2006/relationships/hyperlink" Id="rId52" Target="https://doi.org/10.1016/j.jmoneco.2025.103869" TargetMode="External" /><Relationship Type="http://schemas.openxmlformats.org/officeDocument/2006/relationships/hyperlink" Id="rId88" Target="https://doi.org/10.1016/j.qref.2019.01.001" TargetMode="External" /><Relationship Type="http://schemas.openxmlformats.org/officeDocument/2006/relationships/hyperlink" Id="rId64" Target="https://doi.org/10.1057/imfer.2014.25" TargetMode="External" /><Relationship Type="http://schemas.openxmlformats.org/officeDocument/2006/relationships/hyperlink" Id="rId84" Target="https://doi.org/10.1057/imfer.2016.4" TargetMode="External" /><Relationship Type="http://schemas.openxmlformats.org/officeDocument/2006/relationships/hyperlink" Id="rId72" Target="https://doi.org/10.1057/s41308-022-00171-x" TargetMode="External" /><Relationship Type="http://schemas.openxmlformats.org/officeDocument/2006/relationships/hyperlink" Id="rId50" Target="https://doi.org/10.1086/261167" TargetMode="External" /><Relationship Type="http://schemas.openxmlformats.org/officeDocument/2006/relationships/hyperlink" Id="rId44" Target="https://doi.org/10.1111/roie.12047" TargetMode="External" /><Relationship Type="http://schemas.openxmlformats.org/officeDocument/2006/relationships/hyperlink" Id="rId86" Target="https://doi.org/10.1162/003355304772839605" TargetMode="External" /><Relationship Type="http://schemas.openxmlformats.org/officeDocument/2006/relationships/hyperlink" Id="rId62" Target="https://doi.org/10.1162/003465398557825" TargetMode="External" /><Relationship Type="http://schemas.openxmlformats.org/officeDocument/2006/relationships/hyperlink" Id="rId66" Target="https://doi.org/10.1257/jel.40.3.837" TargetMode="External" /><Relationship Type="http://schemas.openxmlformats.org/officeDocument/2006/relationships/hyperlink" Id="rId76" Target="https://doi.org/10.1257/mac.20130237" TargetMode="External" /><Relationship Type="http://schemas.openxmlformats.org/officeDocument/2006/relationships/hyperlink" Id="rId60" Target="https://doi.org/10.1353/eco.2003.0010" TargetMode="External" /><Relationship Type="http://schemas.openxmlformats.org/officeDocument/2006/relationships/hyperlink" Id="rId58" Target="https://doi.org/10.18637/jss.v027.i02" TargetMode="External" /><Relationship Type="http://schemas.openxmlformats.org/officeDocument/2006/relationships/hyperlink" Id="rId46" Target="https://doi.org/10.21105/joss.00848" TargetMode="External" /><Relationship Type="http://schemas.openxmlformats.org/officeDocument/2006/relationships/hyperlink" Id="rId48" Target="https://doi.org/10.2139/ssrn.5110065" TargetMode="External" /><Relationship Type="http://schemas.openxmlformats.org/officeDocument/2006/relationships/hyperlink" Id="rId80" Target="https://doi.org/10.2307/139336" TargetMode="External" /><Relationship Type="http://schemas.openxmlformats.org/officeDocument/2006/relationships/hyperlink" Id="rId68" Target="https://doi.org/10.2307/3866091" TargetMode="External" /><Relationship Type="http://schemas.openxmlformats.org/officeDocument/2006/relationships/hyperlink" Id="rId70" Target="https://doi.org/10.32614/RJ-2021-035" TargetMode="External" /><Relationship Type="http://schemas.openxmlformats.org/officeDocument/2006/relationships/hyperlink" Id="rId54" Target="https://ideas.repec.org/a/aea/aecrev/v87y1997i2p17-22.html"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Res. Asst. Dr. M. Gökhan Özdemir</dc:creator>
  <cp:keywords/>
  <dcterms:created xsi:type="dcterms:W3CDTF">2026-04-28T17:30:12Z</dcterms:created>
  <dcterms:modified xsi:type="dcterms:W3CDTF">2026-04-28T17:30:12Z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