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Nonlinear Dynamics in the Migration-Carbon-Growth Nexus: A Structural Evaluation of Green Finance and the Ecological Productivity Paradox in Türkiye</w:t>
      </w:r>
    </w:p>
    <w:p>
      <w:pPr>
        <w:pStyle w:val="Author"/>
      </w:pPr>
      <w:r>
        <w:t xml:space="preserve">Author 1</w:t>
      </w:r>
    </w:p>
    <w:p>
      <w:pPr>
        <w:pStyle w:val="Author"/>
      </w:pPr>
      <w:r>
        <w:t xml:space="preserve">Author 2</w:t>
      </w:r>
    </w:p>
    <w:p>
      <w:pPr>
        <w:pStyle w:val="Date"/>
      </w:pPr>
      <w:r>
        <w:t xml:space="preserve">2026-04-25</w:t>
      </w:r>
    </w:p>
    <w:p>
      <w:pPr>
        <w:pStyle w:val="AbstractTitle"/>
      </w:pPr>
      <w:r>
        <w:t xml:space="preserve">Abstract</w:t>
      </w:r>
    </w:p>
    <w:p>
      <w:pPr>
        <w:pStyle w:val="Abstract"/>
      </w:pPr>
      <w:r>
        <w:t xml:space="preserve">This study asks a specific causal question: does carbon accumulation Granger-cause economic growth in Türkiye, and is the migration-carbon nexus empirically identifiable using annual time-series data? Using annual data for Türkiye over 2000–2023 (T = 24), we apply the Toda-Yamamoto (1995) modified Wald causality procedure on a four-variable VAR system comprising labour migration (MIG), CO₂ emissions, green finance (GI), and GDP. All inference is based on Webb (2023) wild bootstrap with B = 999 replications to correct for severe size distortion of asymptotic χ² critical values at N = 24. CO₂ → GDP is the sole statistically robust causality channel (</w:t>
      </w:r>
      <m:oMath>
        <m:sSub>
          <m:e>
            <m:r>
              <m:t>p</m:t>
            </m:r>
          </m:e>
          <m:sub>
            <m:r>
              <m:t>W</m:t>
            </m:r>
            <m:r>
              <m:t>e</m:t>
            </m:r>
            <m:r>
              <m:t>b</m:t>
            </m:r>
            <m:r>
              <m:t>b</m:t>
            </m:r>
          </m:sub>
        </m:sSub>
      </m:oMath>
      <w:r>
        <w:t xml:space="preserve"> </w:t>
      </w:r>
      <w:r>
        <w:t xml:space="preserve">= 0.040), consistent with an environmental drag on growth. GDP → GI is marginally supported at the 10% level (</w:t>
      </w:r>
      <m:oMath>
        <m:sSub>
          <m:e>
            <m:r>
              <m:t>p</m:t>
            </m:r>
          </m:e>
          <m:sub>
            <m:r>
              <m:t>W</m:t>
            </m:r>
            <m:r>
              <m:t>e</m:t>
            </m:r>
            <m:r>
              <m:t>b</m:t>
            </m:r>
            <m:r>
              <m:t>b</m:t>
            </m:r>
          </m:sub>
        </m:sSub>
      </m:oMath>
      <w:r>
        <w:t xml:space="preserve"> </w:t>
      </w:r>
      <w:r>
        <w:t xml:space="preserve">= 0.100). MIG → CO₂ (</w:t>
      </w:r>
      <m:oMath>
        <m:sSub>
          <m:e>
            <m:r>
              <m:t>p</m:t>
            </m:r>
          </m:e>
          <m:sub>
            <m:r>
              <m:t>W</m:t>
            </m:r>
            <m:r>
              <m:t>e</m:t>
            </m:r>
            <m:r>
              <m:t>b</m:t>
            </m:r>
            <m:r>
              <m:t>b</m:t>
            </m:r>
          </m:sub>
        </m:sSub>
      </m:oMath>
      <w:r>
        <w:t xml:space="preserve"> </w:t>
      </w:r>
      <w:r>
        <w:t xml:space="preserve">= 0.943) and MIG → GI (</w:t>
      </w:r>
      <m:oMath>
        <m:sSub>
          <m:e>
            <m:r>
              <m:t>p</m:t>
            </m:r>
          </m:e>
          <m:sub>
            <m:r>
              <m:t>W</m:t>
            </m:r>
            <m:r>
              <m:t>e</m:t>
            </m:r>
            <m:r>
              <m:t>b</m:t>
            </m:r>
            <m:r>
              <m:t>b</m:t>
            </m:r>
          </m:sub>
        </m:sSub>
      </m:oMath>
      <w:r>
        <w:t xml:space="preserve"> </w:t>
      </w:r>
      <w:r>
        <w:t xml:space="preserve">= 0.194) are not robust — the latter appearing significant under asymptotic testing (</w:t>
      </w:r>
      <m:oMath>
        <m:r>
          <m:t>p</m:t>
        </m:r>
      </m:oMath>
      <w:r>
        <w:t xml:space="preserve"> </w:t>
      </w:r>
      <w:r>
        <w:t xml:space="preserve">= 0.021) but collapsing under bootstrap correction, a textbook illustration of small-sample inflation. These results imply that Türkiye’s path toward net-zero requires addressing the carbon-to-growth drag channel directly, rather than relying on migration-driven green-finance spillovers.</w:t>
      </w:r>
    </w:p>
    <w:bookmarkStart w:id="9" w:name="highlights"/>
    <w:p>
      <w:pPr>
        <w:pStyle w:val="Heading2"/>
      </w:pPr>
      <w:r>
        <w:t xml:space="preserve">Highlights</w:t>
      </w:r>
    </w:p>
    <w:p>
      <w:pPr>
        <w:pStyle w:val="Compact"/>
        <w:numPr>
          <w:ilvl w:val="0"/>
          <w:numId w:val="1001"/>
        </w:numPr>
      </w:pPr>
      <w:r>
        <w:t xml:space="preserve">CO₂ → GDP is the sole Webb-robust causality channel (</w:t>
      </w:r>
      <m:oMath>
        <m:sSub>
          <m:e>
            <m:r>
              <m:t>p</m:t>
            </m:r>
          </m:e>
          <m:sub>
            <m:r>
              <m:t>W</m:t>
            </m:r>
            <m:r>
              <m:t>e</m:t>
            </m:r>
            <m:r>
              <m:t>b</m:t>
            </m:r>
            <m:r>
              <m:t>b</m:t>
            </m:r>
          </m:sub>
        </m:sSub>
      </m:oMath>
      <w:r>
        <w:t xml:space="preserve"> </w:t>
      </w:r>
      <w:r>
        <w:t xml:space="preserve">= 0.040): carbon accumulation Granger-causes growth, not the reverse.</w:t>
      </w:r>
    </w:p>
    <w:p>
      <w:pPr>
        <w:pStyle w:val="Compact"/>
        <w:numPr>
          <w:ilvl w:val="0"/>
          <w:numId w:val="1001"/>
        </w:numPr>
      </w:pPr>
      <w:r>
        <w:t xml:space="preserve">GDP → Green Finance is marginally supported (</w:t>
      </w:r>
      <m:oMath>
        <m:sSub>
          <m:e>
            <m:r>
              <m:t>p</m:t>
            </m:r>
          </m:e>
          <m:sub>
            <m:r>
              <m:t>W</m:t>
            </m:r>
            <m:r>
              <m:t>e</m:t>
            </m:r>
            <m:r>
              <m:t>b</m:t>
            </m:r>
            <m:r>
              <m:t>b</m:t>
            </m:r>
          </m:sub>
        </m:sSub>
      </m:oMath>
      <w:r>
        <w:t xml:space="preserve"> </w:t>
      </w:r>
      <w:r>
        <w:t xml:space="preserve">= 0.100), suggesting income expansion enables green investment capacity.</w:t>
      </w:r>
    </w:p>
    <w:p>
      <w:pPr>
        <w:pStyle w:val="Compact"/>
        <w:numPr>
          <w:ilvl w:val="0"/>
          <w:numId w:val="1001"/>
        </w:numPr>
      </w:pPr>
      <w:r>
        <w:t xml:space="preserve">MIG → CO₂ and MIG → GI are not statistically robust after bootstrap correction: migration has no confirmed direct carbon or green-finance effect in Türkiye.</w:t>
      </w:r>
    </w:p>
    <w:p>
      <w:pPr>
        <w:pStyle w:val="Compact"/>
        <w:numPr>
          <w:ilvl w:val="0"/>
          <w:numId w:val="1001"/>
        </w:numPr>
      </w:pPr>
      <w:r>
        <w:t xml:space="preserve">Asymptotic Wald p-values overstate significance by a factor exceeding five in N = 24 samples; Webb wild bootstrap is mandatory for reliable inference.</w:t>
      </w:r>
    </w:p>
    <w:p>
      <w:pPr>
        <w:pStyle w:val="Compact"/>
        <w:numPr>
          <w:ilvl w:val="0"/>
          <w:numId w:val="1001"/>
        </w:numPr>
      </w:pPr>
      <w:r>
        <w:t xml:space="preserve">Toda-Yamamoto approach validated for Türkiye’s structurally broken 2000–2023 annual series (2001/2008/2018 crises).</w:t>
      </w:r>
    </w:p>
    <w:bookmarkEnd w:id="9"/>
    <w:bookmarkStart w:id="11" w:name="introduction"/>
    <w:p>
      <w:pPr>
        <w:pStyle w:val="Heading1"/>
      </w:pPr>
      <w:r>
        <w:t xml:space="preserve">1. Introduction</w:t>
      </w:r>
    </w:p>
    <w:p>
      <w:pPr>
        <w:pStyle w:val="FirstParagraph"/>
      </w:pPr>
      <w:r>
        <w:t xml:space="preserve">In the global economic system, sustainability performance (ESG) is being redefined at the intersection of product sophistication and demographic-spatial transformations. Particularly in rapidly industrialising economies such as Türkiye, where labour migration and uncontrolled urbanisation exceed urban carrying capacity, the Migration-Carbon-Growth Nexus constitutes a central analytical problem. This paper estimates whether carbon accumulation Granger-causes economic growth, whether migration affects carbon or green finance, and whether these channels survive bootstrap correction in a short annual time series (T = 24).</w:t>
      </w:r>
    </w:p>
    <w:p>
      <w:pPr>
        <w:pStyle w:val="BodyText"/>
      </w:pPr>
      <w:r>
        <w:t xml:space="preserve">The paper contributes to the literature in two ways. First, it applies Webb</w:t>
      </w:r>
      <w:r>
        <w:t xml:space="preserve"> </w:t>
      </w:r>
      <w:r>
        <w:t xml:space="preserve">(Webb, 2023)</w:t>
      </w:r>
      <w:r>
        <w:t xml:space="preserve"> </w:t>
      </w:r>
      <w:r>
        <w:t xml:space="preserve">wild bootstrap correction to the Toda-Yamamoto</w:t>
      </w:r>
      <w:r>
        <w:t xml:space="preserve"> </w:t>
      </w:r>
      <w:r>
        <w:t xml:space="preserve">(Toda &amp; Yamamoto, 1995)</w:t>
      </w:r>
      <w:r>
        <w:t xml:space="preserve"> </w:t>
      </w:r>
      <w:r>
        <w:t xml:space="preserve">system, documenting the severity of asymptotic size distortion in N = 24 time-series causality studies. Second, it provides bootstrap-validated evidence on which channels in the Migration-Carbon-Growth nexus hold predictive precedence for Türkiye, offering policy guidance that is not inflated by small-sample artefacts.</w:t>
      </w:r>
    </w:p>
    <w:bookmarkStart w:id="10" w:name="X6e4d91d0bb945c0b5196c250cfc92f58665c3b0"/>
    <w:p>
      <w:pPr>
        <w:pStyle w:val="Heading2"/>
      </w:pPr>
      <w:r>
        <w:t xml:space="preserve">1.1 Türkiye’s Structural Paradox: Migration, Urbanisation, and Spatial Lock-in</w:t>
      </w:r>
    </w:p>
    <w:p>
      <w:pPr>
        <w:pStyle w:val="FirstParagraph"/>
      </w:pPr>
      <w:r>
        <w:t xml:space="preserve">Türkiye’s industrialisation strategy has generated waves of human capital and labour migration concentrated in urban industrial hubs (Kocaeli, Bursa, Istanbul). This spatial agglomeration, while reducing logistics costs, amplifies the urban heat island effect and transport-related emissions, potentially neutralising the carbon gains from technological complexity (ECI). This paper therefore treats Türkiye’s sustainability performance not merely as a question of technology, but equally as a question of how the demographic pressures generated by that complexity are managed through green finance channels.</w:t>
      </w:r>
    </w:p>
    <w:p>
      <w:pPr>
        <w:pStyle w:val="BodyText"/>
      </w:pPr>
      <w:r>
        <w:t xml:space="preserve">The remainder of the paper proceeds as follows. Section 2 reviews the literature. Section 3 presents the methodology. Section 4 reports empirical results. Section 5 discusses findings. Section 6 concludes.</w:t>
      </w:r>
    </w:p>
    <w:bookmarkEnd w:id="10"/>
    <w:bookmarkEnd w:id="11"/>
    <w:bookmarkStart w:id="15" w:name="literature-review"/>
    <w:p>
      <w:pPr>
        <w:pStyle w:val="Heading1"/>
      </w:pPr>
      <w:r>
        <w:t xml:space="preserve">2. Literature Review</w:t>
      </w:r>
    </w:p>
    <w:p>
      <w:pPr>
        <w:pStyle w:val="FirstParagraph"/>
      </w:pPr>
      <w:r>
        <w:t xml:space="preserve">The interaction between economic complexity and environmental sustainability is characterised in the contemporary literature by nonlinear dynamics and structural paradoxes. Most panel evidence focuses on asymptotic inference and largely neglects the role of labour mobility and spatial agglomeration in shaping emission trajectories.</w:t>
      </w:r>
    </w:p>
    <w:bookmarkStart w:id="12" w:name="Xca112600a3391c0675d0fddef16178408116e64"/>
    <w:p>
      <w:pPr>
        <w:pStyle w:val="Heading2"/>
      </w:pPr>
      <w:r>
        <w:t xml:space="preserve">2.1 Ecological Productivity Paradox and the Rebound Effect</w:t>
      </w:r>
    </w:p>
    <w:p>
      <w:pPr>
        <w:pStyle w:val="FirstParagraph"/>
      </w:pPr>
      <w:r>
        <w:t xml:space="preserve">The</w:t>
      </w:r>
      <w:r>
        <w:t xml:space="preserve"> </w:t>
      </w:r>
      <w:r>
        <w:rPr>
          <w:b/>
          <w:bCs/>
        </w:rPr>
        <w:t xml:space="preserve">Ecological Productivity Paradox</w:t>
      </w:r>
      <w:r>
        <w:t xml:space="preserve"> </w:t>
      </w:r>
      <w:r>
        <w:t xml:space="preserve">— this paper’s core theoretical argument — is built on the Jevons Paradox: the risk that efficiency gains trigger cumulative demand</w:t>
      </w:r>
      <w:r>
        <w:t xml:space="preserve"> </w:t>
      </w:r>
      <w:r>
        <w:t xml:space="preserve">(Lange et al., 2021)</w:t>
      </w:r>
      <w:r>
        <w:t xml:space="preserve">. While</w:t>
      </w:r>
      <w:r>
        <w:t xml:space="preserve"> </w:t>
      </w:r>
      <w:r>
        <w:t xml:space="preserve">Romero &amp; Gramkow (2021)</w:t>
      </w:r>
      <w:r>
        <w:t xml:space="preserve"> </w:t>
      </w:r>
      <w:r>
        <w:t xml:space="preserve">show that economic complexity reduces GHG emission intensity, as product proximity and energy efficiency improve, unit costs fall — and this reduction may increase aggregate energy consumption and labour demand toward industrial hubs (migratory pull), potentially generating net carbon growth through the Rebound Effect</w:t>
      </w:r>
      <w:r>
        <w:t xml:space="preserve"> </w:t>
      </w:r>
      <w:r>
        <w:t xml:space="preserve">(Lange et al., 2021)</w:t>
      </w:r>
      <w:r>
        <w:t xml:space="preserve">.</w:t>
      </w:r>
    </w:p>
    <w:bookmarkEnd w:id="12"/>
    <w:bookmarkStart w:id="13" w:name="X562030b963b08e920da4e1cbbb53c78a5ad61e3"/>
    <w:p>
      <w:pPr>
        <w:pStyle w:val="Heading2"/>
      </w:pPr>
      <w:r>
        <w:t xml:space="preserve">2.2 Spatial Agglomeration and Carbon Footprint: Türkiye’s Hub Dynamics</w:t>
      </w:r>
    </w:p>
    <w:p>
      <w:pPr>
        <w:pStyle w:val="FirstParagraph"/>
      </w:pPr>
      <w:r>
        <w:t xml:space="preserve">In the Türkiye case, spatial agglomeration is the most powerful structural barrier to the decoupling of economic complexity and environmental performance. Production concentrated in urban hubs creates technological lock-in effects, confining emissions to a structural trajectory</w:t>
      </w:r>
      <w:r>
        <w:t xml:space="preserve"> </w:t>
      </w:r>
      <w:r>
        <w:t xml:space="preserve">(Rosser Jr, 2021)</w:t>
      </w:r>
      <w:r>
        <w:t xml:space="preserve">. This implies that Türkiye’s net-zero goals require not only technology transfer, but also alignment of migration management with urban carbon capacity.</w:t>
      </w:r>
    </w:p>
    <w:bookmarkEnd w:id="13"/>
    <w:bookmarkStart w:id="14" w:name="green-finance-and-labour-mobility"/>
    <w:p>
      <w:pPr>
        <w:pStyle w:val="Heading2"/>
      </w:pPr>
      <w:r>
        <w:t xml:space="preserve">2.3 Green Finance and Labour Mobility</w:t>
      </w:r>
    </w:p>
    <w:p>
      <w:pPr>
        <w:pStyle w:val="FirstParagraph"/>
      </w:pPr>
      <w:r>
        <w:t xml:space="preserve">Green finance channels can minimise the negative externalities in the Migration-Carbon nexus by financing the geographic and technological transformation of industry</w:t>
      </w:r>
      <w:r>
        <w:t xml:space="preserve"> </w:t>
      </w:r>
      <w:r>
        <w:t xml:space="preserve">(Shah et al., 2023)</w:t>
      </w:r>
      <w:r>
        <w:t xml:space="preserve">. Sustainable urban infrastructure and green mortgage credit are viewed as strategic instruments for directing labour mobility toward lower-carbon-intensity hubs.</w:t>
      </w:r>
    </w:p>
    <w:bookmarkEnd w:id="14"/>
    <w:bookmarkEnd w:id="15"/>
    <w:bookmarkStart w:id="19" w:name="methodology"/>
    <w:p>
      <w:pPr>
        <w:pStyle w:val="Heading1"/>
      </w:pPr>
      <w:r>
        <w:t xml:space="preserve">3. Methodology</w:t>
      </w:r>
    </w:p>
    <w:bookmarkStart w:id="16" w:name="research-design-and-variable-definitions"/>
    <w:p>
      <w:pPr>
        <w:pStyle w:val="Heading2"/>
      </w:pPr>
      <w:r>
        <w:t xml:space="preserve">3.1 Research Design and Variable Definitions</w:t>
      </w:r>
    </w:p>
    <w:p>
      <w:pPr>
        <w:pStyle w:val="FirstParagraph"/>
      </w:pPr>
      <w:r>
        <w:t xml:space="preserve">This study uses annual time-series data for Türkiye over 2000–2023 (T = 24). The empirical objective is to test dynamic causal relationships among labour migration (MIG), CO₂ emissions, green finance (GI), and economic growth (GDP). Variable sources: MIG and GDP from World Bank WDI; CO₂ from World Bank/EDGAR; GI proxied by the OECD Environmental Policy Stringency Index.</w:t>
      </w:r>
    </w:p>
    <w:bookmarkEnd w:id="16"/>
    <w:bookmarkStart w:id="17" w:name="X69304dd1c5d470a6add7cac46b50a2181a8d601"/>
    <w:p>
      <w:pPr>
        <w:pStyle w:val="Heading2"/>
      </w:pPr>
      <w:r>
        <w:t xml:space="preserve">3.2 Toda-Yamamoto (1995) Extended VAR Framework</w:t>
      </w:r>
    </w:p>
    <w:p>
      <w:pPr>
        <w:pStyle w:val="FirstParagraph"/>
      </w:pPr>
      <w:r>
        <w:t xml:space="preserve">Given Türkiye’s pronounced structural breaks in 2001, 2008, and 2018, the</w:t>
      </w:r>
      <w:r>
        <w:t xml:space="preserve"> </w:t>
      </w:r>
      <w:r>
        <w:rPr>
          <w:b/>
          <w:bCs/>
        </w:rPr>
        <w:t xml:space="preserve">Toda-Yamamoto</w:t>
      </w:r>
      <w:r>
        <w:t xml:space="preserve"> </w:t>
      </w:r>
      <w:r>
        <w:t xml:space="preserve">approach</w:t>
      </w:r>
      <w:r>
        <w:t xml:space="preserve"> </w:t>
      </w:r>
      <w:r>
        <w:t xml:space="preserve">(Toda &amp; Yamamoto, 1995)</w:t>
      </w:r>
      <w:r>
        <w:t xml:space="preserve"> </w:t>
      </w:r>
      <w:r>
        <w:t xml:space="preserve">is preferred: it estimates an unrestricted VAR in levels, providing consistent inference under mixed I(0)/I(1) systems without requiring cointegration pre-testing. The augmented VAR(</w:t>
      </w:r>
      <m:oMath>
        <m:r>
          <m:t>k</m:t>
        </m:r>
        <m:r>
          <m:rPr>
            <m:sty m:val="p"/>
          </m:rPr>
          <m:t>+</m:t>
        </m:r>
        <m:sSub>
          <m:e>
            <m:r>
              <m:t>d</m:t>
            </m:r>
          </m:e>
          <m:sub>
            <m:r>
              <m:t>m</m:t>
            </m:r>
            <m:r>
              <m:t>a</m:t>
            </m:r>
            <m:r>
              <m:t>x</m:t>
            </m:r>
          </m:sub>
        </m:sSub>
      </m:oMath>
      <w:r>
        <w:t xml:space="preserve">) system is:</w:t>
      </w:r>
    </w:p>
    <w:p>
      <w:pPr>
        <w:pStyle w:val="BodyText"/>
      </w:pPr>
      <m:oMathPara>
        <m:oMathParaPr>
          <m:jc m:val="center"/>
        </m:oMathParaPr>
        <m:oMath>
          <m:sSub>
            <m:e>
              <m:r>
                <m:t>y</m:t>
              </m:r>
            </m:e>
            <m:sub>
              <m:r>
                <m:t>t</m:t>
              </m:r>
            </m:sub>
          </m:sSub>
          <m:r>
            <m:rPr>
              <m:sty m:val="p"/>
            </m:rPr>
            <m:t>=</m:t>
          </m:r>
          <m:sSub>
            <m:e>
              <m:r>
                <m:t>α</m:t>
              </m:r>
            </m:e>
            <m:sub>
              <m:r>
                <m:t>0</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y</m:t>
              </m:r>
            </m:e>
            <m:sub>
              <m:r>
                <m:t>t</m:t>
              </m:r>
              <m:r>
                <m:rPr>
                  <m:sty m:val="p"/>
                </m:rPr>
                <m:t>−</m:t>
              </m:r>
              <m:r>
                <m:t>i</m:t>
              </m:r>
            </m:sub>
          </m:sSub>
          <m:r>
            <m:rPr>
              <m:sty m:val="p"/>
            </m:rPr>
            <m:t>+</m:t>
          </m:r>
          <m:nary>
            <m:naryPr>
              <m:chr m:val="∑"/>
              <m:limLoc m:val="undOvr"/>
              <m:subHide m:val="off"/>
              <m:supHide m:val="off"/>
            </m:naryPr>
            <m:sub>
              <m:r>
                <m:t>j</m:t>
              </m:r>
              <m:r>
                <m:rPr>
                  <m:sty m:val="p"/>
                </m:rPr>
                <m:t>=</m:t>
              </m:r>
              <m:r>
                <m:t>k</m:t>
              </m:r>
              <m:r>
                <m:rPr>
                  <m:sty m:val="p"/>
                </m:rPr>
                <m:t>+</m:t>
              </m:r>
              <m:r>
                <m:t>1</m:t>
              </m:r>
            </m:sub>
            <m:sup>
              <m:r>
                <m:t>k</m:t>
              </m:r>
              <m:r>
                <m:rPr>
                  <m:sty m:val="p"/>
                </m:rPr>
                <m:t>+</m:t>
              </m:r>
              <m:sSub>
                <m:e>
                  <m:r>
                    <m:t>d</m:t>
                  </m:r>
                </m:e>
                <m:sub>
                  <m:r>
                    <m:t>m</m:t>
                  </m:r>
                  <m:r>
                    <m:t>a</m:t>
                  </m:r>
                  <m:r>
                    <m:t>x</m:t>
                  </m:r>
                </m:sub>
              </m:sSub>
            </m:sup>
            <m:e>
              <m:sSub>
                <m:e>
                  <m:r>
                    <m:t>γ</m:t>
                  </m:r>
                </m:e>
                <m:sub>
                  <m:r>
                    <m:t>j</m:t>
                  </m:r>
                </m:sub>
              </m:sSub>
            </m:e>
          </m:nary>
          <m:sSub>
            <m:e>
              <m:r>
                <m:t>y</m:t>
              </m:r>
            </m:e>
            <m:sub>
              <m:r>
                <m:t>t</m:t>
              </m:r>
              <m:r>
                <m:rPr>
                  <m:sty m:val="p"/>
                </m:rPr>
                <m:t>−</m:t>
              </m:r>
              <m:r>
                <m:t>j</m:t>
              </m:r>
            </m:sub>
          </m:sSub>
          <m:r>
            <m:rPr>
              <m:sty m:val="p"/>
            </m:rPr>
            <m:t>+</m:t>
          </m:r>
          <m:sSub>
            <m:e>
              <m:r>
                <m:t>ϵ</m:t>
              </m:r>
            </m:e>
            <m:sub>
              <m:r>
                <m:t>t</m:t>
              </m:r>
            </m:sub>
          </m:sSub>
        </m:oMath>
      </m:oMathPara>
    </w:p>
    <w:p>
      <w:pPr>
        <w:pStyle w:val="FirstParagraph"/>
      </w:pPr>
      <w:r>
        <w:t xml:space="preserve">where</w:t>
      </w:r>
      <w:r>
        <w:t xml:space="preserve"> </w:t>
      </w:r>
      <m:oMath>
        <m:sSub>
          <m:e>
            <m:r>
              <m:t>y</m:t>
            </m:r>
          </m:e>
          <m:sub>
            <m:r>
              <m:t>t</m:t>
            </m:r>
          </m:sub>
        </m:sSub>
      </m:oMath>
      <w:r>
        <w:t xml:space="preserve"> </w:t>
      </w:r>
      <w:r>
        <w:t xml:space="preserve">= [MIG, CO₂, GI, GDP];</w:t>
      </w:r>
      <w:r>
        <w:t xml:space="preserve"> </w:t>
      </w:r>
      <m:oMath>
        <m:r>
          <m:t>k</m:t>
        </m:r>
      </m:oMath>
      <w:r>
        <w:t xml:space="preserve"> </w:t>
      </w:r>
      <w:r>
        <w:t xml:space="preserve">is the optimal lag length (AIC/BIC); and</w:t>
      </w:r>
      <w:r>
        <w:t xml:space="preserve"> </w:t>
      </w:r>
      <m:oMath>
        <m:sSub>
          <m:e>
            <m:r>
              <m:t>d</m:t>
            </m:r>
          </m:e>
          <m:sub>
            <m:r>
              <m:t>m</m:t>
            </m:r>
            <m:r>
              <m:t>a</m:t>
            </m:r>
            <m:r>
              <m:t>x</m:t>
            </m:r>
          </m:sub>
        </m:sSub>
      </m:oMath>
      <w:r>
        <w:t xml:space="preserve"> </w:t>
      </w:r>
      <w:r>
        <w:t xml:space="preserve">is the maximum integration order, determined by ADF unit root tests (Section 4.1). Causality is tested via the modified Wald (MWALD) statistic on the first</w:t>
      </w:r>
      <w:r>
        <w:t xml:space="preserve"> </w:t>
      </w:r>
      <m:oMath>
        <m:r>
          <m:t>k</m:t>
        </m:r>
      </m:oMath>
      <w:r>
        <w:t xml:space="preserve"> </w:t>
      </w:r>
      <w:r>
        <w:t xml:space="preserve">coefficient matrices, asymptotically χ²(</w:t>
      </w:r>
      <m:oMath>
        <m:r>
          <m:t>k</m:t>
        </m:r>
      </m:oMath>
      <w:r>
        <w:t xml:space="preserve">) under the null. Future work employing Zivot-Andrews or Bai-Perron endogenous break tests would improve the robustness of the integration-order classification given Türkiye’s pronounced regime shifts.</w:t>
      </w:r>
    </w:p>
    <w:bookmarkEnd w:id="17"/>
    <w:bookmarkStart w:id="18" w:name="webb-wild-bootstrap-correction"/>
    <w:p>
      <w:pPr>
        <w:pStyle w:val="Heading2"/>
      </w:pPr>
      <w:r>
        <w:t xml:space="preserve">3.3 Webb Wild Bootstrap Correction</w:t>
      </w:r>
    </w:p>
    <w:p>
      <w:pPr>
        <w:pStyle w:val="FirstParagraph"/>
      </w:pPr>
      <w:r>
        <w:t xml:space="preserve">A critical methodological contribution is the application of</w:t>
      </w:r>
      <w:r>
        <w:t xml:space="preserve"> </w:t>
      </w:r>
      <w:r>
        <w:rPr>
          <w:b/>
          <w:bCs/>
        </w:rPr>
        <w:t xml:space="preserve">Webb</w:t>
      </w:r>
      <w:r>
        <w:rPr>
          <w:b/>
          <w:bCs/>
        </w:rPr>
        <w:t xml:space="preserve"> </w:t>
      </w:r>
      <w:r>
        <w:rPr>
          <w:b/>
          <w:bCs/>
        </w:rPr>
        <w:t xml:space="preserve">(Webb, 2023)</w:t>
      </w:r>
      <w:r>
        <w:rPr>
          <w:b/>
          <w:bCs/>
        </w:rPr>
        <w:t xml:space="preserve"> </w:t>
      </w:r>
      <w:r>
        <w:rPr>
          <w:b/>
          <w:bCs/>
        </w:rPr>
        <w:t xml:space="preserve">six-point discrete wild bootstrap</w:t>
      </w:r>
      <w:r>
        <w:t xml:space="preserve"> </w:t>
      </w:r>
      <w:r>
        <w:t xml:space="preserve">(B = 999 replications, seed = 20260407) to all MWALD statistics. In samples of N = 24, asymptotic χ² critical values overstate the true rejection rate. Bootstrap p-values provide size-corrected inference and serve as the primary decision criterion throughout.</w:t>
      </w:r>
    </w:p>
    <w:bookmarkEnd w:id="18"/>
    <w:bookmarkEnd w:id="19"/>
    <w:bookmarkStart w:id="26" w:name="empirical-results"/>
    <w:p>
      <w:pPr>
        <w:pStyle w:val="Heading1"/>
      </w:pPr>
      <w:r>
        <w:t xml:space="preserve">4. Empirical Results</w:t>
      </w:r>
    </w:p>
    <w:bookmarkStart w:id="21" w:name="unit-root-tests"/>
    <w:p>
      <w:pPr>
        <w:pStyle w:val="Heading2"/>
      </w:pPr>
      <w:r>
        <w:t xml:space="preserve">4.1 Unit Root Tests</w:t>
      </w:r>
    </w:p>
    <w:p>
      <w:pPr>
        <w:pStyle w:val="FirstParagraph"/>
      </w:pPr>
      <w:r>
        <w:t xml:space="preserve">ADF tests with constant and trend (MacKinnon 1996 critical values) applied in levels; the unit root null is not rejected for any variable (Table 1). MIG (</w:t>
      </w:r>
      <m:oMath>
        <m:r>
          <m:t>t</m:t>
        </m:r>
        <m:r>
          <m:rPr>
            <m:sty m:val="p"/>
          </m:rPr>
          <m:t>=</m:t>
        </m:r>
        <m:r>
          <m:rPr>
            <m:sty m:val="p"/>
          </m:rPr>
          <m:t>−</m:t>
        </m:r>
        <m:r>
          <m:t>2.139</m:t>
        </m:r>
      </m:oMath>
      <w:r>
        <w:t xml:space="preserve">,</w:t>
      </w:r>
      <w:r>
        <w:t xml:space="preserve"> </w:t>
      </w:r>
      <m:oMath>
        <m:r>
          <m:t>p</m:t>
        </m:r>
        <m:r>
          <m:rPr>
            <m:sty m:val="p"/>
          </m:rPr>
          <m:t>=</m:t>
        </m:r>
        <m:r>
          <m:t>0.524</m:t>
        </m:r>
      </m:oMath>
      <w:r>
        <w:t xml:space="preserve">), CO₂ (</w:t>
      </w:r>
      <m:oMath>
        <m:r>
          <m:t>t</m:t>
        </m:r>
        <m:r>
          <m:rPr>
            <m:sty m:val="p"/>
          </m:rPr>
          <m:t>=</m:t>
        </m:r>
        <m:r>
          <m:rPr>
            <m:sty m:val="p"/>
          </m:rPr>
          <m:t>−</m:t>
        </m:r>
        <m:r>
          <m:t>2.236</m:t>
        </m:r>
      </m:oMath>
      <w:r>
        <w:t xml:space="preserve">,</w:t>
      </w:r>
      <w:r>
        <w:t xml:space="preserve"> </w:t>
      </w:r>
      <m:oMath>
        <m:r>
          <m:t>p</m:t>
        </m:r>
        <m:r>
          <m:rPr>
            <m:sty m:val="p"/>
          </m:rPr>
          <m:t>=</m:t>
        </m:r>
        <m:r>
          <m:t>0.470</m:t>
        </m:r>
      </m:oMath>
      <w:r>
        <w:t xml:space="preserve">), GDP (</w:t>
      </w:r>
      <m:oMath>
        <m:r>
          <m:t>t</m:t>
        </m:r>
        <m:r>
          <m:rPr>
            <m:sty m:val="p"/>
          </m:rPr>
          <m:t>=</m:t>
        </m:r>
        <m:r>
          <m:rPr>
            <m:sty m:val="p"/>
          </m:rPr>
          <m:t>−</m:t>
        </m:r>
        <m:r>
          <m:t>2.983</m:t>
        </m:r>
      </m:oMath>
      <w:r>
        <w:t xml:space="preserve">,</w:t>
      </w:r>
      <w:r>
        <w:t xml:space="preserve"> </w:t>
      </w:r>
      <m:oMath>
        <m:r>
          <m:t>p</m:t>
        </m:r>
        <m:r>
          <m:rPr>
            <m:sty m:val="p"/>
          </m:rPr>
          <m:t>=</m:t>
        </m:r>
        <m:r>
          <m:t>0.137</m:t>
        </m:r>
      </m:oMath>
      <w:r>
        <w:t xml:space="preserve">), and GI (</w:t>
      </w:r>
      <m:oMath>
        <m:r>
          <m:t>t</m:t>
        </m:r>
        <m:r>
          <m:rPr>
            <m:sty m:val="p"/>
          </m:rPr>
          <m:t>=</m:t>
        </m:r>
        <m:r>
          <m:rPr>
            <m:sty m:val="p"/>
          </m:rPr>
          <m:t>−</m:t>
        </m:r>
        <m:r>
          <m:t>1.963</m:t>
        </m:r>
      </m:oMath>
      <w:r>
        <w:t xml:space="preserve">,</w:t>
      </w:r>
      <w:r>
        <w:t xml:space="preserve"> </w:t>
      </w:r>
      <m:oMath>
        <m:r>
          <m:t>p</m:t>
        </m:r>
        <m:r>
          <m:rPr>
            <m:sty m:val="p"/>
          </m:rPr>
          <m:t>=</m:t>
        </m:r>
        <m:r>
          <m:t>0.622</m:t>
        </m:r>
      </m:oMath>
      <w:r>
        <w:t xml:space="preserve">) are all classified as I(1);</w:t>
      </w:r>
      <w:r>
        <w:t xml:space="preserve"> </w:t>
      </w:r>
      <m:oMath>
        <m:sSub>
          <m:e>
            <m:r>
              <m:t>d</m:t>
            </m:r>
          </m:e>
          <m:sub>
            <m:r>
              <m:t>m</m:t>
            </m:r>
            <m:r>
              <m:t>a</m:t>
            </m:r>
            <m:r>
              <m:t>x</m:t>
            </m:r>
          </m:sub>
        </m:sSub>
        <m:r>
          <m:rPr>
            <m:sty m:val="p"/>
          </m:rPr>
          <m:t>=</m:t>
        </m:r>
        <m:r>
          <m:t>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20" w:name="tbl-unitroot"/>
          <w:p>
            <w:pPr>
              <w:jc w:val="center"/>
            </w:pPr>
            <w:pPr>
              <w:jc w:val="left"/>
              <w:spacing w:before="200"/>
              <w:pStyle w:val="ImageCaption"/>
            </w:pPr>
            <w:r>
              <w:t xml:space="preserve">Table 1: ADF Unit Root Results (2000–2023, constant + trend). MacKinnon (1996) critical values; 5% threshold: −3.60.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ADF</w:t>
                  </w:r>
                  <w:r>
                    <w:t xml:space="preserve"> </w:t>
                  </w:r>
                  <w:r>
                    <w:rPr>
                      <w:i/>
                      <w:iCs/>
                    </w:rPr>
                    <w:t xml:space="preserve">t</w:t>
                  </w:r>
                </w:p>
              </w:tc>
              <w:tc>
                <w:tcPr/>
                <w:p>
                  <w:pPr>
                    <w:pStyle w:val="Compact"/>
                    <w:jc w:val="center"/>
                  </w:pPr>
                  <w:r>
                    <w:rPr>
                      <w:i/>
                      <w:iCs/>
                    </w:rPr>
                    <w:t xml:space="preserve">p</w:t>
                  </w:r>
                </w:p>
              </w:tc>
              <w:tc>
                <w:tcPr/>
                <w:p>
                  <w:pPr>
                    <w:pStyle w:val="Compact"/>
                    <w:jc w:val="center"/>
                  </w:pPr>
                  <w:r>
                    <w:t xml:space="preserve">Order</w:t>
                  </w:r>
                </w:p>
              </w:tc>
            </w:tr>
            <w:tr>
              <w:tc>
                <w:tcPr/>
                <w:p>
                  <w:pPr>
                    <w:pStyle w:val="Compact"/>
                    <w:jc w:val="center"/>
                  </w:pPr>
                  <w:r>
                    <w:t xml:space="preserve">MIG</w:t>
                  </w:r>
                </w:p>
              </w:tc>
              <w:tc>
                <w:tcPr/>
                <w:p>
                  <w:pPr>
                    <w:pStyle w:val="Compact"/>
                    <w:jc w:val="center"/>
                  </w:pPr>
                  <w:r>
                    <w:t xml:space="preserve">−2.139</w:t>
                  </w:r>
                </w:p>
              </w:tc>
              <w:tc>
                <w:tcPr/>
                <w:p>
                  <w:pPr>
                    <w:pStyle w:val="Compact"/>
                    <w:jc w:val="center"/>
                  </w:pPr>
                  <w:r>
                    <w:t xml:space="preserve">0.524</w:t>
                  </w:r>
                </w:p>
              </w:tc>
              <w:tc>
                <w:tcPr/>
                <w:p>
                  <w:pPr>
                    <w:pStyle w:val="Compact"/>
                    <w:jc w:val="center"/>
                  </w:pPr>
                  <w:r>
                    <w:t xml:space="preserve">I(1)</w:t>
                  </w:r>
                </w:p>
              </w:tc>
            </w:tr>
            <w:tr>
              <w:tc>
                <w:tcPr/>
                <w:p>
                  <w:pPr>
                    <w:pStyle w:val="Compact"/>
                    <w:jc w:val="center"/>
                  </w:pPr>
                  <w:r>
                    <w:t xml:space="preserve">CO₂</w:t>
                  </w:r>
                </w:p>
              </w:tc>
              <w:tc>
                <w:tcPr/>
                <w:p>
                  <w:pPr>
                    <w:pStyle w:val="Compact"/>
                    <w:jc w:val="center"/>
                  </w:pPr>
                  <w:r>
                    <w:t xml:space="preserve">−2.236</w:t>
                  </w:r>
                </w:p>
              </w:tc>
              <w:tc>
                <w:tcPr/>
                <w:p>
                  <w:pPr>
                    <w:pStyle w:val="Compact"/>
                    <w:jc w:val="center"/>
                  </w:pPr>
                  <w:r>
                    <w:t xml:space="preserve">0.470</w:t>
                  </w:r>
                </w:p>
              </w:tc>
              <w:tc>
                <w:tcPr/>
                <w:p>
                  <w:pPr>
                    <w:pStyle w:val="Compact"/>
                    <w:jc w:val="center"/>
                  </w:pPr>
                  <w:r>
                    <w:t xml:space="preserve">I(1)</w:t>
                  </w:r>
                </w:p>
              </w:tc>
            </w:tr>
            <w:tr>
              <w:tc>
                <w:tcPr/>
                <w:p>
                  <w:pPr>
                    <w:pStyle w:val="Compact"/>
                    <w:jc w:val="center"/>
                  </w:pPr>
                  <w:r>
                    <w:t xml:space="preserve">GDP</w:t>
                  </w:r>
                </w:p>
              </w:tc>
              <w:tc>
                <w:tcPr/>
                <w:p>
                  <w:pPr>
                    <w:pStyle w:val="Compact"/>
                    <w:jc w:val="center"/>
                  </w:pPr>
                  <w:r>
                    <w:t xml:space="preserve">−2.983</w:t>
                  </w:r>
                </w:p>
              </w:tc>
              <w:tc>
                <w:tcPr/>
                <w:p>
                  <w:pPr>
                    <w:pStyle w:val="Compact"/>
                    <w:jc w:val="center"/>
                  </w:pPr>
                  <w:r>
                    <w:t xml:space="preserve">0.137</w:t>
                  </w:r>
                </w:p>
              </w:tc>
              <w:tc>
                <w:tcPr/>
                <w:p>
                  <w:pPr>
                    <w:pStyle w:val="Compact"/>
                    <w:jc w:val="center"/>
                  </w:pPr>
                  <w:r>
                    <w:t xml:space="preserve">I(1)</w:t>
                  </w:r>
                </w:p>
              </w:tc>
            </w:tr>
            <w:tr>
              <w:tc>
                <w:tcPr/>
                <w:p>
                  <w:pPr>
                    <w:pStyle w:val="Compact"/>
                    <w:jc w:val="center"/>
                  </w:pPr>
                  <w:r>
                    <w:t xml:space="preserve">GI</w:t>
                  </w:r>
                </w:p>
              </w:tc>
              <w:tc>
                <w:tcPr/>
                <w:p>
                  <w:pPr>
                    <w:pStyle w:val="Compact"/>
                    <w:jc w:val="center"/>
                  </w:pPr>
                  <w:r>
                    <w:t xml:space="preserve">−1.963</w:t>
                  </w:r>
                </w:p>
              </w:tc>
              <w:tc>
                <w:tcPr/>
                <w:p>
                  <w:pPr>
                    <w:pStyle w:val="Compact"/>
                    <w:jc w:val="center"/>
                  </w:pPr>
                  <w:r>
                    <w:t xml:space="preserve">0.622</w:t>
                  </w:r>
                </w:p>
              </w:tc>
              <w:tc>
                <w:tcPr/>
                <w:p>
                  <w:pPr>
                    <w:pStyle w:val="Compact"/>
                    <w:jc w:val="center"/>
                  </w:pPr>
                  <w:r>
                    <w:t xml:space="preserve">I(1)</w:t>
                  </w:r>
                </w:p>
              </w:tc>
            </w:tr>
          </w:tbl>
          <w:bookmarkEnd w:id="20"/>
          <w:p/>
        </w:tc>
      </w:tr>
    </w:tbl>
    <w:bookmarkEnd w:id="21"/>
    <w:bookmarkStart w:id="22" w:name="cointegration-tests"/>
    <w:p>
      <w:pPr>
        <w:pStyle w:val="Heading2"/>
      </w:pPr>
      <w:r>
        <w:t xml:space="preserve">4.2 Cointegration Tests</w:t>
      </w:r>
    </w:p>
    <w:p>
      <w:pPr>
        <w:pStyle w:val="FirstParagraph"/>
      </w:pPr>
      <w:r>
        <w:t xml:space="preserve">Because the Toda-Yamamoto approach estimates the VAR in levels, the existence of a long-run relationship is tested separately. The Johansen trace statistic marginally exceeds the boundary at</w:t>
      </w:r>
      <w:r>
        <w:t xml:space="preserve"> </w:t>
      </w:r>
      <m:oMath>
        <m:r>
          <m:t>r</m:t>
        </m:r>
        <m:r>
          <m:rPr>
            <m:sty m:val="p"/>
          </m:rPr>
          <m:t>=</m:t>
        </m:r>
        <m:r>
          <m:t>1</m:t>
        </m:r>
      </m:oMath>
      <w:r>
        <w:t xml:space="preserve"> </w:t>
      </w:r>
      <w:r>
        <w:t xml:space="preserve">(Trace = 48.38 &gt; CV₀.₀₅ = 47.85); however, the maximum eigenvalue test is borderline (</w:t>
      </w:r>
      <m:oMath>
        <m:r>
          <m:t>r</m:t>
        </m:r>
        <m:r>
          <m:rPr>
            <m:sty m:val="p"/>
          </m:rPr>
          <m:t>=</m:t>
        </m:r>
        <m:r>
          <m:t>0</m:t>
        </m:r>
      </m:oMath>
      <w:r>
        <w:t xml:space="preserve">: 28.00 &gt; 27.59). The ARDL bounds test (CO₂ equation) provides no cointegration evidence (</w:t>
      </w:r>
      <m:oMath>
        <m:r>
          <m:t>F</m:t>
        </m:r>
        <m:r>
          <m:rPr>
            <m:sty m:val="p"/>
          </m:rPr>
          <m:t>=</m:t>
        </m:r>
        <m:r>
          <m:t>0.428</m:t>
        </m:r>
        <m:r>
          <m:rPr>
            <m:sty m:val="p"/>
          </m:rPr>
          <m:t>&lt;</m:t>
        </m:r>
        <m:r>
          <m:t>I</m:t>
        </m:r>
        <m:r>
          <m:rPr>
            <m:sty m:val="p"/>
          </m:rPr>
          <m:t>(</m:t>
        </m:r>
        <m:r>
          <m:t>0</m:t>
        </m:r>
        <m:sSub>
          <m:e>
            <m:r>
              <m:rPr>
                <m:sty m:val="p"/>
              </m:rPr>
              <m:t>)</m:t>
            </m:r>
          </m:e>
          <m:sub>
            <m:r>
              <m:t>0.05</m:t>
            </m:r>
          </m:sub>
        </m:sSub>
        <m:r>
          <m:rPr>
            <m:sty m:val="p"/>
          </m:rPr>
          <m:t>=</m:t>
        </m:r>
        <m:r>
          <m:t>3.23</m:t>
        </m:r>
      </m:oMath>
      <w:r>
        <w:t xml:space="preserve">). This inconsistent picture at N = 24 supports retaining the Toda-Yamamoto levels-VAR formulation rather than a cointegration-based ECM.</w:t>
      </w:r>
    </w:p>
    <w:p>
      <w:pPr>
        <w:pStyle w:val="BodyText"/>
      </w:pPr>
      <w:r>
        <w:t xml:space="preserve">Residual diagnostics confirm structural stability: Ljung-Box(4) = 1.96 (</w:t>
      </w:r>
      <m:oMath>
        <m:r>
          <m:t>p</m:t>
        </m:r>
        <m:r>
          <m:rPr>
            <m:sty m:val="p"/>
          </m:rPr>
          <m:t>=</m:t>
        </m:r>
        <m:r>
          <m:t>0.743</m:t>
        </m:r>
      </m:oMath>
      <w:r>
        <w:t xml:space="preserve">); CUSUM statistic = 0.59 (</w:t>
      </w:r>
      <m:oMath>
        <m:r>
          <m:t>p</m:t>
        </m:r>
        <m:r>
          <m:rPr>
            <m:sty m:val="p"/>
          </m:rPr>
          <m:t>=</m:t>
        </m:r>
        <m:r>
          <m:t>0.873</m:t>
        </m:r>
      </m:oMath>
      <w:r>
        <w:t xml:space="preserve">). No serial correlation or parameter instability is detected.</w:t>
      </w:r>
    </w:p>
    <w:bookmarkEnd w:id="22"/>
    <w:bookmarkStart w:id="24" w:name="toda-yamamoto-causality-results"/>
    <w:p>
      <w:pPr>
        <w:pStyle w:val="Heading2"/>
      </w:pPr>
      <w:r>
        <w:t xml:space="preserve">4.3 Toda-Yamamoto Causality Results</w:t>
      </w:r>
    </w:p>
    <w:p>
      <w:pPr>
        <w:pStyle w:val="FirstParagraph"/>
      </w:pPr>
      <w:r>
        <w:t xml:space="preserve">With</w:t>
      </w:r>
      <w:r>
        <w:t xml:space="preserve"> </w:t>
      </w:r>
      <m:oMath>
        <m:r>
          <m:t>k</m:t>
        </m:r>
        <m:r>
          <m:rPr>
            <m:sty m:val="p"/>
          </m:rPr>
          <m:t>=</m:t>
        </m:r>
        <m:r>
          <m:t>1</m:t>
        </m:r>
      </m:oMath>
      <w:r>
        <w:t xml:space="preserve"> </w:t>
      </w:r>
      <w:r>
        <w:t xml:space="preserve">(AIC/BIC) and</w:t>
      </w:r>
      <w:r>
        <w:t xml:space="preserve"> </w:t>
      </w:r>
      <m:oMath>
        <m:sSub>
          <m:e>
            <m:r>
              <m:t>d</m:t>
            </m:r>
          </m:e>
          <m:sub>
            <m:r>
              <m:t>m</m:t>
            </m:r>
            <m:r>
              <m:t>a</m:t>
            </m:r>
            <m:r>
              <m:t>x</m:t>
            </m:r>
          </m:sub>
        </m:sSub>
        <m:r>
          <m:rPr>
            <m:sty m:val="p"/>
          </m:rPr>
          <m:t>=</m:t>
        </m:r>
        <m:r>
          <m:t>1</m:t>
        </m:r>
      </m:oMath>
      <w:r>
        <w:t xml:space="preserve">, a VAR(2) system is estimated. Table 2 presents the full directional causality matrix with asymptotic and Webb bootstrap p-values.</w:t>
      </w:r>
      <w:r>
        <w:t xml:space="preserve"> </w:t>
      </w:r>
      <w:r>
        <w:rPr>
          <w:b/>
          <w:bCs/>
        </w:rPr>
        <w:t xml:space="preserve">The primary inference criterion is</w:t>
      </w:r>
      <w:r>
        <w:rPr>
          <w:b/>
          <w:bCs/>
        </w:rPr>
        <w:t xml:space="preserve"> </w:t>
      </w:r>
      <m:oMath>
        <m:sSub>
          <m:e>
            <m:r>
              <m:t>p</m:t>
            </m:r>
          </m:e>
          <m:sub>
            <m:r>
              <m:t>W</m:t>
            </m:r>
            <m:r>
              <m:t>e</m:t>
            </m:r>
            <m:r>
              <m:t>b</m:t>
            </m:r>
            <m:r>
              <m:t>b</m:t>
            </m:r>
          </m:sub>
        </m:sSub>
      </m:oMath>
      <w:r>
        <w:t xml:space="preserve">; asymptotic p-values are anti-conservative at N = 24 and are not used for decision.</w:t>
      </w:r>
    </w:p>
    <w:tbl>
      <w:tblPr>
        <w:tblStyle w:val="Table"/>
        <w:tblW w:type="pct" w:w="5000"/>
        <w:tblLayout w:type="fixed"/>
        <w:tblLook w:firstRow="0" w:lastRow="0" w:firstColumn="0" w:lastColumn="0" w:noHBand="0" w:noVBand="0" w:val="0000"/>
      </w:tblPr>
      <w:tblGrid>
        <w:gridCol w:w="7920"/>
      </w:tblGrid>
      <w:tr>
        <w:tc>
          <w:tcPr/>
          <w:bookmarkStart w:id="23" w:name="tbl-ty"/>
          <w:p>
            <w:pPr>
              <w:jc w:val="center"/>
            </w:pPr>
            <w:pPr>
              <w:jc w:val="left"/>
              <w:spacing w:before="200"/>
              <w:pStyle w:val="ImageCaption"/>
            </w:pPr>
            <w:r>
              <w:t xml:space="preserve">Table 2: Toda-Yamamoto MWALD Causality Matrix (</w:t>
            </w:r>
            <m:oMath>
              <m:r>
                <m:t>k</m:t>
              </m:r>
            </m:oMath>
            <w:r>
              <w:t xml:space="preserve"> </w:t>
            </w:r>
            <w:r>
              <w:t xml:space="preserve">= 1,</w:t>
            </w:r>
            <w:r>
              <w:t xml:space="preserve"> </w:t>
            </w:r>
            <m:oMath>
              <m:sSub>
                <m:e>
                  <m:r>
                    <m:t>d</m:t>
                  </m:r>
                </m:e>
                <m:sub>
                  <m:r>
                    <m:t>m</m:t>
                  </m:r>
                  <m:r>
                    <m:t>a</m:t>
                  </m:r>
                  <m:r>
                    <m:t>x</m:t>
                  </m:r>
                </m:sub>
              </m:sSub>
            </m:oMath>
            <w:r>
              <w:t xml:space="preserve"> </w:t>
            </w:r>
            <w:r>
              <w:t xml:space="preserve">= 1). Asymptotic critical: χ²(2) = 5.99 (5%), 4.61 (10%). Webb bootstrap:</w:t>
            </w:r>
            <w:r>
              <w:t xml:space="preserve"> </w:t>
            </w:r>
            <w:r>
              <w:t xml:space="preserve">Webb (2023)</w:t>
            </w:r>
            <w:r>
              <w:t xml:space="preserve"> </w:t>
            </w:r>
            <w:r>
              <w:t xml:space="preserve">six-point discrete weights, B = 999, seed = 20260407. **</w:t>
            </w:r>
            <w:r>
              <w:t xml:space="preserve"> </w:t>
            </w:r>
            <m:oMath>
              <m:sSub>
                <m:e>
                  <m:r>
                    <m:t>p</m:t>
                  </m:r>
                </m:e>
                <m:sub>
                  <m:r>
                    <m:t>W</m:t>
                  </m:r>
                  <m:r>
                    <m:t>e</m:t>
                  </m:r>
                  <m:r>
                    <m:t>b</m:t>
                  </m:r>
                  <m:r>
                    <m:t>b</m:t>
                  </m:r>
                </m:sub>
              </m:sSub>
            </m:oMath>
            <w:r>
              <w:t xml:space="preserve"> </w:t>
            </w:r>
            <w:r>
              <w:t xml:space="preserve">&lt; 0.05; *</w:t>
            </w:r>
            <w:r>
              <w:t xml:space="preserve"> </w:t>
            </w:r>
            <m:oMath>
              <m:sSub>
                <m:e>
                  <m:r>
                    <m:t>p</m:t>
                  </m:r>
                </m:e>
                <m:sub>
                  <m:r>
                    <m:t>W</m:t>
                  </m:r>
                  <m:r>
                    <m:t>e</m:t>
                  </m:r>
                  <m:r>
                    <m:t>b</m:t>
                  </m:r>
                  <m:r>
                    <m:t>b</m:t>
                  </m:r>
                </m:sub>
              </m:sSub>
            </m:oMath>
            <w:r>
              <w:t xml:space="preserve"> </w:t>
            </w:r>
            <w:r>
              <w:t xml:space="preserve">&lt; 0.10. † MIG → GI: asymptotic</w:t>
            </w:r>
            <w:r>
              <w:t xml:space="preserve"> </w:t>
            </w:r>
            <m:oMath>
              <m:r>
                <m:t>p</m:t>
              </m:r>
            </m:oMath>
            <w:r>
              <w:t xml:space="preserve"> </w:t>
            </w:r>
            <w:r>
              <w:t xml:space="preserve">= 0.021, Webb</w:t>
            </w:r>
            <w:r>
              <w:t xml:space="preserve"> </w:t>
            </w:r>
            <m:oMath>
              <m:r>
                <m:t>p</m:t>
              </m:r>
            </m:oMath>
            <w:r>
              <w:t xml:space="preserve"> </w:t>
            </w:r>
            <w:r>
              <w:t xml:space="preserve">= 0.194 — small-sample inflation, not statistically robust.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Null: X does not precede Y</w:t>
                  </w:r>
                </w:p>
              </w:tc>
              <w:tc>
                <w:tcPr/>
                <w:p>
                  <w:pPr>
                    <w:pStyle w:val="Compact"/>
                    <w:jc w:val="center"/>
                  </w:pPr>
                  <w:r>
                    <w:t xml:space="preserve">Wald χ²(2)</w:t>
                  </w:r>
                </w:p>
              </w:tc>
              <w:tc>
                <w:tcPr/>
                <w:p>
                  <w:pPr>
                    <w:pStyle w:val="Compact"/>
                    <w:jc w:val="center"/>
                  </w:pPr>
                  <w:r>
                    <w:rPr>
                      <w:i/>
                      <w:iCs/>
                    </w:rPr>
                    <w:t xml:space="preserve">p</w:t>
                  </w:r>
                  <w:r>
                    <w:t xml:space="preserve"> </w:t>
                  </w:r>
                  <w:r>
                    <w:t xml:space="preserve">(asymptotic)</w:t>
                  </w:r>
                </w:p>
              </w:tc>
              <w:tc>
                <w:tcPr/>
                <w:p>
                  <w:pPr>
                    <w:pStyle w:val="Compact"/>
                    <w:jc w:val="center"/>
                  </w:pPr>
                  <w:r>
                    <w:rPr>
                      <w:i/>
                      <w:iCs/>
                    </w:rPr>
                    <w:t xml:space="preserve">p</w:t>
                  </w:r>
                  <w:r>
                    <w:t xml:space="preserve"> </w:t>
                  </w:r>
                  <w:r>
                    <w:t xml:space="preserve">(Webb)</w:t>
                  </w:r>
                </w:p>
              </w:tc>
              <w:tc>
                <w:tcPr/>
                <w:p>
                  <w:pPr>
                    <w:pStyle w:val="Compact"/>
                    <w:jc w:val="center"/>
                  </w:pPr>
                  <w:r>
                    <w:t xml:space="preserve">Decision</w:t>
                  </w:r>
                </w:p>
              </w:tc>
            </w:tr>
            <w:tr>
              <w:tc>
                <w:tcPr/>
                <w:p>
                  <w:pPr>
                    <w:pStyle w:val="Compact"/>
                    <w:jc w:val="center"/>
                  </w:pPr>
                  <w:r>
                    <w:t xml:space="preserve">MIG → CO₂</w:t>
                  </w:r>
                </w:p>
              </w:tc>
              <w:tc>
                <w:tcPr/>
                <w:p>
                  <w:pPr>
                    <w:pStyle w:val="Compact"/>
                    <w:jc w:val="center"/>
                  </w:pPr>
                  <w:r>
                    <w:t xml:space="preserve">0.081</w:t>
                  </w:r>
                </w:p>
              </w:tc>
              <w:tc>
                <w:tcPr/>
                <w:p>
                  <w:pPr>
                    <w:pStyle w:val="Compact"/>
                    <w:jc w:val="center"/>
                  </w:pPr>
                  <w:r>
                    <w:t xml:space="preserve">0.960</w:t>
                  </w:r>
                </w:p>
              </w:tc>
              <w:tc>
                <w:tcPr/>
                <w:p>
                  <w:pPr>
                    <w:pStyle w:val="Compact"/>
                    <w:jc w:val="center"/>
                  </w:pPr>
                  <w:r>
                    <w:t xml:space="preserve">0.943</w:t>
                  </w:r>
                </w:p>
              </w:tc>
              <w:tc>
                <w:tcPr/>
                <w:p>
                  <w:pPr>
                    <w:pStyle w:val="Compact"/>
                    <w:jc w:val="center"/>
                  </w:pPr>
                  <w:r>
                    <w:t xml:space="preserve">NS</w:t>
                  </w:r>
                </w:p>
              </w:tc>
            </w:tr>
            <w:tr>
              <w:tc>
                <w:tcPr/>
                <w:p>
                  <w:pPr>
                    <w:pStyle w:val="Compact"/>
                    <w:jc w:val="center"/>
                  </w:pPr>
                  <w:r>
                    <w:t xml:space="preserve">MIG → GDP</w:t>
                  </w:r>
                </w:p>
              </w:tc>
              <w:tc>
                <w:tcPr/>
                <w:p>
                  <w:pPr>
                    <w:pStyle w:val="Compact"/>
                    <w:jc w:val="center"/>
                  </w:pPr>
                  <w:r>
                    <w:t xml:space="preserve">1.574</w:t>
                  </w:r>
                </w:p>
              </w:tc>
              <w:tc>
                <w:tcPr/>
                <w:p>
                  <w:pPr>
                    <w:pStyle w:val="Compact"/>
                    <w:jc w:val="center"/>
                  </w:pPr>
                  <w:r>
                    <w:t xml:space="preserve">0.455</w:t>
                  </w:r>
                </w:p>
              </w:tc>
              <w:tc>
                <w:tcPr/>
                <w:p>
                  <w:pPr>
                    <w:pStyle w:val="Compact"/>
                    <w:jc w:val="center"/>
                  </w:pPr>
                  <w:r>
                    <w:t xml:space="preserve">0.479</w:t>
                  </w:r>
                </w:p>
              </w:tc>
              <w:tc>
                <w:tcPr/>
                <w:p>
                  <w:pPr>
                    <w:pStyle w:val="Compact"/>
                    <w:jc w:val="center"/>
                  </w:pPr>
                  <w:r>
                    <w:t xml:space="preserve">NS</w:t>
                  </w:r>
                </w:p>
              </w:tc>
            </w:tr>
            <w:tr>
              <w:tc>
                <w:tcPr/>
                <w:p>
                  <w:pPr>
                    <w:pStyle w:val="Compact"/>
                    <w:jc w:val="center"/>
                  </w:pPr>
                  <w:r>
                    <w:t xml:space="preserve">MIG → GI</w:t>
                  </w:r>
                </w:p>
              </w:tc>
              <w:tc>
                <w:tcPr/>
                <w:p>
                  <w:pPr>
                    <w:pStyle w:val="Compact"/>
                    <w:jc w:val="center"/>
                  </w:pPr>
                  <w:r>
                    <w:t xml:space="preserve">7.775</w:t>
                  </w:r>
                </w:p>
              </w:tc>
              <w:tc>
                <w:tcPr/>
                <w:p>
                  <w:pPr>
                    <w:pStyle w:val="Compact"/>
                    <w:jc w:val="center"/>
                  </w:pPr>
                  <w:r>
                    <w:t xml:space="preserve">0.021</w:t>
                  </w:r>
                </w:p>
              </w:tc>
              <w:tc>
                <w:tcPr/>
                <w:p>
                  <w:pPr>
                    <w:pStyle w:val="Compact"/>
                    <w:jc w:val="center"/>
                  </w:pPr>
                  <w:r>
                    <w:t xml:space="preserve">0.194</w:t>
                  </w:r>
                </w:p>
              </w:tc>
              <w:tc>
                <w:tcPr/>
                <w:p>
                  <w:pPr>
                    <w:pStyle w:val="Compact"/>
                    <w:jc w:val="center"/>
                  </w:pPr>
                  <w:r>
                    <w:t xml:space="preserve">NS†</w:t>
                  </w:r>
                </w:p>
              </w:tc>
            </w:tr>
            <w:tr>
              <w:tc>
                <w:tcPr/>
                <w:p>
                  <w:pPr>
                    <w:pStyle w:val="Compact"/>
                    <w:jc w:val="center"/>
                  </w:pPr>
                  <w:r>
                    <w:t xml:space="preserve">CO₂ → MIG</w:t>
                  </w:r>
                </w:p>
              </w:tc>
              <w:tc>
                <w:tcPr/>
                <w:p>
                  <w:pPr>
                    <w:pStyle w:val="Compact"/>
                    <w:jc w:val="center"/>
                  </w:pPr>
                  <w:r>
                    <w:t xml:space="preserve">4.247</w:t>
                  </w:r>
                </w:p>
              </w:tc>
              <w:tc>
                <w:tcPr/>
                <w:p>
                  <w:pPr>
                    <w:pStyle w:val="Compact"/>
                    <w:jc w:val="center"/>
                  </w:pPr>
                  <w:r>
                    <w:t xml:space="preserve">0.120</w:t>
                  </w:r>
                </w:p>
              </w:tc>
              <w:tc>
                <w:tcPr/>
                <w:p>
                  <w:pPr>
                    <w:pStyle w:val="Compact"/>
                    <w:jc w:val="center"/>
                  </w:pPr>
                  <w:r>
                    <w:t xml:space="preserve">0.514</w:t>
                  </w:r>
                </w:p>
              </w:tc>
              <w:tc>
                <w:tcPr/>
                <w:p>
                  <w:pPr>
                    <w:pStyle w:val="Compact"/>
                    <w:jc w:val="center"/>
                  </w:pPr>
                  <w:r>
                    <w:t xml:space="preserve">NS</w:t>
                  </w:r>
                </w:p>
              </w:tc>
            </w:tr>
            <w:tr>
              <w:tc>
                <w:tcPr/>
                <w:p>
                  <w:pPr>
                    <w:pStyle w:val="Compact"/>
                    <w:jc w:val="center"/>
                  </w:pPr>
                  <w:r>
                    <w:rPr>
                      <w:b/>
                      <w:bCs/>
                    </w:rPr>
                    <w:t xml:space="preserve">CO₂ → GDP</w:t>
                  </w:r>
                </w:p>
              </w:tc>
              <w:tc>
                <w:tcPr/>
                <w:p>
                  <w:pPr>
                    <w:pStyle w:val="Compact"/>
                    <w:jc w:val="center"/>
                  </w:pPr>
                  <w:r>
                    <w:rPr>
                      <w:b/>
                      <w:bCs/>
                    </w:rPr>
                    <w:t xml:space="preserve">9.075</w:t>
                  </w:r>
                </w:p>
              </w:tc>
              <w:tc>
                <w:tcPr/>
                <w:p>
                  <w:pPr>
                    <w:pStyle w:val="Compact"/>
                    <w:jc w:val="center"/>
                  </w:pPr>
                  <w:r>
                    <w:rPr>
                      <w:b/>
                      <w:bCs/>
                    </w:rPr>
                    <w:t xml:space="preserve">0.011</w:t>
                  </w:r>
                </w:p>
              </w:tc>
              <w:tc>
                <w:tcPr/>
                <w:p>
                  <w:pPr>
                    <w:pStyle w:val="Compact"/>
                    <w:jc w:val="center"/>
                  </w:pPr>
                  <w:r>
                    <w:rPr>
                      <w:b/>
                      <w:bCs/>
                    </w:rPr>
                    <w:t xml:space="preserve">0.040</w:t>
                  </w:r>
                </w:p>
              </w:tc>
              <w:tc>
                <w:tcPr/>
                <w:p>
                  <w:pPr>
                    <w:pStyle w:val="Compact"/>
                    <w:jc w:val="center"/>
                  </w:pPr>
                  <w:r>
                    <w:rPr>
                      <w:b/>
                      <w:bCs/>
                    </w:rPr>
                    <w:t xml:space="preserve">**</w:t>
                  </w:r>
                </w:p>
              </w:tc>
            </w:tr>
            <w:tr>
              <w:tc>
                <w:tcPr/>
                <w:p>
                  <w:pPr>
                    <w:pStyle w:val="Compact"/>
                    <w:jc w:val="center"/>
                  </w:pPr>
                  <w:r>
                    <w:t xml:space="preserve">CO₂ → GI</w:t>
                  </w:r>
                </w:p>
              </w:tc>
              <w:tc>
                <w:tcPr/>
                <w:p>
                  <w:pPr>
                    <w:pStyle w:val="Compact"/>
                    <w:jc w:val="center"/>
                  </w:pPr>
                  <w:r>
                    <w:t xml:space="preserve">0.063</w:t>
                  </w:r>
                </w:p>
              </w:tc>
              <w:tc>
                <w:tcPr/>
                <w:p>
                  <w:pPr>
                    <w:pStyle w:val="Compact"/>
                    <w:jc w:val="center"/>
                  </w:pPr>
                  <w:r>
                    <w:t xml:space="preserve">0.969</w:t>
                  </w:r>
                </w:p>
              </w:tc>
              <w:tc>
                <w:tcPr/>
                <w:p>
                  <w:pPr>
                    <w:pStyle w:val="Compact"/>
                    <w:jc w:val="center"/>
                  </w:pPr>
                  <w:r>
                    <w:t xml:space="preserve">0.965</w:t>
                  </w:r>
                </w:p>
              </w:tc>
              <w:tc>
                <w:tcPr/>
                <w:p>
                  <w:pPr>
                    <w:pStyle w:val="Compact"/>
                    <w:jc w:val="center"/>
                  </w:pPr>
                  <w:r>
                    <w:t xml:space="preserve">NS</w:t>
                  </w:r>
                </w:p>
              </w:tc>
            </w:tr>
            <w:tr>
              <w:tc>
                <w:tcPr/>
                <w:p>
                  <w:pPr>
                    <w:pStyle w:val="Compact"/>
                    <w:jc w:val="center"/>
                  </w:pPr>
                  <w:r>
                    <w:t xml:space="preserve">GDP → MIG</w:t>
                  </w:r>
                </w:p>
              </w:tc>
              <w:tc>
                <w:tcPr/>
                <w:p>
                  <w:pPr>
                    <w:pStyle w:val="Compact"/>
                    <w:jc w:val="center"/>
                  </w:pPr>
                  <w:r>
                    <w:t xml:space="preserve">4.502</w:t>
                  </w:r>
                </w:p>
              </w:tc>
              <w:tc>
                <w:tcPr/>
                <w:p>
                  <w:pPr>
                    <w:pStyle w:val="Compact"/>
                    <w:jc w:val="center"/>
                  </w:pPr>
                  <w:r>
                    <w:t xml:space="preserve">0.105</w:t>
                  </w:r>
                </w:p>
              </w:tc>
              <w:tc>
                <w:tcPr/>
                <w:p>
                  <w:pPr>
                    <w:pStyle w:val="Compact"/>
                    <w:jc w:val="center"/>
                  </w:pPr>
                  <w:r>
                    <w:t xml:space="preserve">0.307</w:t>
                  </w:r>
                </w:p>
              </w:tc>
              <w:tc>
                <w:tcPr/>
                <w:p>
                  <w:pPr>
                    <w:pStyle w:val="Compact"/>
                    <w:jc w:val="center"/>
                  </w:pPr>
                  <w:r>
                    <w:t xml:space="preserve">NS</w:t>
                  </w:r>
                </w:p>
              </w:tc>
            </w:tr>
            <w:tr>
              <w:tc>
                <w:tcPr/>
                <w:p>
                  <w:pPr>
                    <w:pStyle w:val="Compact"/>
                    <w:jc w:val="center"/>
                  </w:pPr>
                  <w:r>
                    <w:t xml:space="preserve">GDP → CO₂</w:t>
                  </w:r>
                </w:p>
              </w:tc>
              <w:tc>
                <w:tcPr/>
                <w:p>
                  <w:pPr>
                    <w:pStyle w:val="Compact"/>
                    <w:jc w:val="center"/>
                  </w:pPr>
                  <w:r>
                    <w:t xml:space="preserve">1.033</w:t>
                  </w:r>
                </w:p>
              </w:tc>
              <w:tc>
                <w:tcPr/>
                <w:p>
                  <w:pPr>
                    <w:pStyle w:val="Compact"/>
                    <w:jc w:val="center"/>
                  </w:pPr>
                  <w:r>
                    <w:t xml:space="preserve">0.597</w:t>
                  </w:r>
                </w:p>
              </w:tc>
              <w:tc>
                <w:tcPr/>
                <w:p>
                  <w:pPr>
                    <w:pStyle w:val="Compact"/>
                    <w:jc w:val="center"/>
                  </w:pPr>
                  <w:r>
                    <w:t xml:space="preserve">0.793</w:t>
                  </w:r>
                </w:p>
              </w:tc>
              <w:tc>
                <w:tcPr/>
                <w:p>
                  <w:pPr>
                    <w:pStyle w:val="Compact"/>
                    <w:jc w:val="center"/>
                  </w:pPr>
                  <w:r>
                    <w:t xml:space="preserve">NS</w:t>
                  </w:r>
                </w:p>
              </w:tc>
            </w:tr>
            <w:tr>
              <w:tc>
                <w:tcPr/>
                <w:p>
                  <w:pPr>
                    <w:pStyle w:val="Compact"/>
                    <w:jc w:val="center"/>
                  </w:pPr>
                  <w:r>
                    <w:rPr>
                      <w:b/>
                      <w:bCs/>
                    </w:rPr>
                    <w:t xml:space="preserve">GDP → GI</w:t>
                  </w:r>
                </w:p>
              </w:tc>
              <w:tc>
                <w:tcPr/>
                <w:p>
                  <w:pPr>
                    <w:pStyle w:val="Compact"/>
                    <w:jc w:val="center"/>
                  </w:pPr>
                  <w:r>
                    <w:rPr>
                      <w:b/>
                      <w:bCs/>
                    </w:rPr>
                    <w:t xml:space="preserve">6.482</w:t>
                  </w:r>
                </w:p>
              </w:tc>
              <w:tc>
                <w:tcPr/>
                <w:p>
                  <w:pPr>
                    <w:pStyle w:val="Compact"/>
                    <w:jc w:val="center"/>
                  </w:pPr>
                  <w:r>
                    <w:rPr>
                      <w:b/>
                      <w:bCs/>
                    </w:rPr>
                    <w:t xml:space="preserve">0.039</w:t>
                  </w:r>
                </w:p>
              </w:tc>
              <w:tc>
                <w:tcPr/>
                <w:p>
                  <w:pPr>
                    <w:pStyle w:val="Compact"/>
                    <w:jc w:val="center"/>
                  </w:pPr>
                  <w:r>
                    <w:rPr>
                      <w:b/>
                      <w:bCs/>
                    </w:rPr>
                    <w:t xml:space="preserve">0.100</w:t>
                  </w:r>
                </w:p>
              </w:tc>
              <w:tc>
                <w:tcPr/>
                <w:p>
                  <w:pPr>
                    <w:pStyle w:val="Compact"/>
                    <w:jc w:val="center"/>
                  </w:pPr>
                  <w:r>
                    <w:rPr>
                      <w:b/>
                      <w:bCs/>
                    </w:rPr>
                    <w:t xml:space="preserve">*†</w:t>
                  </w:r>
                </w:p>
              </w:tc>
            </w:tr>
            <w:tr>
              <w:tc>
                <w:tcPr/>
                <w:p>
                  <w:pPr>
                    <w:pStyle w:val="Compact"/>
                    <w:jc w:val="center"/>
                  </w:pPr>
                  <w:r>
                    <w:t xml:space="preserve">GI → MIG</w:t>
                  </w:r>
                </w:p>
              </w:tc>
              <w:tc>
                <w:tcPr/>
                <w:p>
                  <w:pPr>
                    <w:pStyle w:val="Compact"/>
                    <w:jc w:val="center"/>
                  </w:pPr>
                  <w:r>
                    <w:t xml:space="preserve">0.761</w:t>
                  </w:r>
                </w:p>
              </w:tc>
              <w:tc>
                <w:tcPr/>
                <w:p>
                  <w:pPr>
                    <w:pStyle w:val="Compact"/>
                    <w:jc w:val="center"/>
                  </w:pPr>
                  <w:r>
                    <w:t xml:space="preserve">0.684</w:t>
                  </w:r>
                </w:p>
              </w:tc>
              <w:tc>
                <w:tcPr/>
                <w:p>
                  <w:pPr>
                    <w:pStyle w:val="Compact"/>
                    <w:jc w:val="center"/>
                  </w:pPr>
                  <w:r>
                    <w:t xml:space="preserve">0.612</w:t>
                  </w:r>
                </w:p>
              </w:tc>
              <w:tc>
                <w:tcPr/>
                <w:p>
                  <w:pPr>
                    <w:pStyle w:val="Compact"/>
                    <w:jc w:val="center"/>
                  </w:pPr>
                  <w:r>
                    <w:t xml:space="preserve">NS</w:t>
                  </w:r>
                </w:p>
              </w:tc>
            </w:tr>
            <w:tr>
              <w:tc>
                <w:tcPr/>
                <w:p>
                  <w:pPr>
                    <w:pStyle w:val="Compact"/>
                    <w:jc w:val="center"/>
                  </w:pPr>
                  <w:r>
                    <w:t xml:space="preserve">GI → CO₂</w:t>
                  </w:r>
                </w:p>
              </w:tc>
              <w:tc>
                <w:tcPr/>
                <w:p>
                  <w:pPr>
                    <w:pStyle w:val="Compact"/>
                    <w:jc w:val="center"/>
                  </w:pPr>
                  <w:r>
                    <w:t xml:space="preserve">1.039</w:t>
                  </w:r>
                </w:p>
              </w:tc>
              <w:tc>
                <w:tcPr/>
                <w:p>
                  <w:pPr>
                    <w:pStyle w:val="Compact"/>
                    <w:jc w:val="center"/>
                  </w:pPr>
                  <w:r>
                    <w:t xml:space="preserve">0.595</w:t>
                  </w:r>
                </w:p>
              </w:tc>
              <w:tc>
                <w:tcPr/>
                <w:p>
                  <w:pPr>
                    <w:pStyle w:val="Compact"/>
                    <w:jc w:val="center"/>
                  </w:pPr>
                  <w:r>
                    <w:t xml:space="preserve">0.592</w:t>
                  </w:r>
                </w:p>
              </w:tc>
              <w:tc>
                <w:tcPr/>
                <w:p>
                  <w:pPr>
                    <w:pStyle w:val="Compact"/>
                    <w:jc w:val="center"/>
                  </w:pPr>
                  <w:r>
                    <w:t xml:space="preserve">NS</w:t>
                  </w:r>
                </w:p>
              </w:tc>
            </w:tr>
            <w:tr>
              <w:tc>
                <w:tcPr/>
                <w:p>
                  <w:pPr>
                    <w:pStyle w:val="Compact"/>
                    <w:jc w:val="center"/>
                  </w:pPr>
                  <w:r>
                    <w:t xml:space="preserve">GI → GDP</w:t>
                  </w:r>
                </w:p>
              </w:tc>
              <w:tc>
                <w:tcPr/>
                <w:p>
                  <w:pPr>
                    <w:pStyle w:val="Compact"/>
                    <w:jc w:val="center"/>
                  </w:pPr>
                  <w:r>
                    <w:t xml:space="preserve">2.350</w:t>
                  </w:r>
                </w:p>
              </w:tc>
              <w:tc>
                <w:tcPr/>
                <w:p>
                  <w:pPr>
                    <w:pStyle w:val="Compact"/>
                    <w:jc w:val="center"/>
                  </w:pPr>
                  <w:r>
                    <w:t xml:space="preserve">0.309</w:t>
                  </w:r>
                </w:p>
              </w:tc>
              <w:tc>
                <w:tcPr/>
                <w:p>
                  <w:pPr>
                    <w:pStyle w:val="Compact"/>
                    <w:jc w:val="center"/>
                  </w:pPr>
                  <w:r>
                    <w:t xml:space="preserve">0.347</w:t>
                  </w:r>
                </w:p>
              </w:tc>
              <w:tc>
                <w:tcPr/>
                <w:p>
                  <w:pPr>
                    <w:pStyle w:val="Compact"/>
                    <w:jc w:val="center"/>
                  </w:pPr>
                  <w:r>
                    <w:t xml:space="preserve">NS</w:t>
                  </w:r>
                </w:p>
              </w:tc>
            </w:tr>
          </w:tbl>
          <w:bookmarkEnd w:id="23"/>
          <w:p/>
        </w:tc>
      </w:tr>
    </w:tbl>
    <w:p>
      <w:pPr>
        <w:pStyle w:val="BodyText"/>
      </w:pPr>
      <w:r>
        <w:rPr>
          <w:b/>
          <w:bCs/>
        </w:rPr>
        <w:t xml:space="preserve">CO₂ → GDP</w:t>
      </w:r>
      <w:r>
        <w:t xml:space="preserve"> </w:t>
      </w:r>
      <w:r>
        <w:t xml:space="preserve">(χ² = 9.08,</w:t>
      </w:r>
      <w:r>
        <w:t xml:space="preserve"> </w:t>
      </w:r>
      <m:oMath>
        <m:sSub>
          <m:e>
            <m:r>
              <m:t>p</m:t>
            </m:r>
          </m:e>
          <m:sub>
            <m:r>
              <m:t>W</m:t>
            </m:r>
            <m:r>
              <m:t>e</m:t>
            </m:r>
            <m:r>
              <m:t>b</m:t>
            </m:r>
            <m:r>
              <m:t>b</m:t>
            </m:r>
          </m:sub>
        </m:sSub>
      </m:oMath>
      <w:r>
        <w:t xml:space="preserve"> </w:t>
      </w:r>
      <w:r>
        <w:t xml:space="preserve">= 0.040): Carbon accumulation Granger-causes subsequent growth performance, indicating that a rising emission stock imposes an environmental drag on productivity. This constitutes predictive rather than structural causality</w:t>
      </w:r>
      <w:r>
        <w:t xml:space="preserve"> </w:t>
      </w:r>
      <w:r>
        <w:t xml:space="preserve">(Toda &amp; Yamamoto, 1995)</w:t>
      </w:r>
      <w:r>
        <w:t xml:space="preserve">; the precise transmission mechanism and effect magnitude require impulse response analysis left for future work.</w:t>
      </w:r>
    </w:p>
    <w:p>
      <w:pPr>
        <w:pStyle w:val="BodyText"/>
      </w:pPr>
      <w:r>
        <w:rPr>
          <w:b/>
          <w:bCs/>
        </w:rPr>
        <w:t xml:space="preserve">GDP → GI</w:t>
      </w:r>
      <w:r>
        <w:t xml:space="preserve"> </w:t>
      </w:r>
      <w:r>
        <w:t xml:space="preserve">(χ² = 6.48,</w:t>
      </w:r>
      <w:r>
        <w:t xml:space="preserve"> </w:t>
      </w:r>
      <m:oMath>
        <m:sSub>
          <m:e>
            <m:r>
              <m:t>p</m:t>
            </m:r>
          </m:e>
          <m:sub>
            <m:r>
              <m:t>W</m:t>
            </m:r>
            <m:r>
              <m:t>e</m:t>
            </m:r>
            <m:r>
              <m:t>b</m:t>
            </m:r>
            <m:r>
              <m:t>b</m:t>
            </m:r>
          </m:sub>
        </m:sSub>
      </m:oMath>
      <w:r>
        <w:t xml:space="preserve"> </w:t>
      </w:r>
      <w:r>
        <w:t xml:space="preserve">= 0.100): Economic growth Granger-causes green finance at the marginal 10% Webb threshold, indicating that income expansion opens green investment capacity. This result is marginal and should be interpreted with caution.</w:t>
      </w:r>
    </w:p>
    <w:p>
      <w:pPr>
        <w:pStyle w:val="BodyText"/>
      </w:pPr>
      <w:r>
        <w:rPr>
          <w:b/>
          <w:bCs/>
        </w:rPr>
        <w:t xml:space="preserve">MIG → GI</w:t>
      </w:r>
      <w:r>
        <w:t xml:space="preserve"> </w:t>
      </w:r>
      <w:r>
        <w:t xml:space="preserve">(χ² = 7.78,</w:t>
      </w:r>
      <w:r>
        <w:t xml:space="preserve"> </w:t>
      </w:r>
      <m:oMath>
        <m:sSub>
          <m:e>
            <m:r>
              <m:t>p</m:t>
            </m:r>
          </m:e>
          <m:sub>
            <m:r>
              <m:t>a</m:t>
            </m:r>
            <m:r>
              <m:t>s</m:t>
            </m:r>
            <m:r>
              <m:t>y</m:t>
            </m:r>
            <m:r>
              <m:t>m</m:t>
            </m:r>
            <m:r>
              <m:t>p</m:t>
            </m:r>
          </m:sub>
        </m:sSub>
      </m:oMath>
      <w:r>
        <w:t xml:space="preserve"> </w:t>
      </w:r>
      <w:r>
        <w:t xml:space="preserve">= 0.021,</w:t>
      </w:r>
      <w:r>
        <w:t xml:space="preserve"> </w:t>
      </w:r>
      <m:oMath>
        <m:sSub>
          <m:e>
            <m:r>
              <m:t>p</m:t>
            </m:r>
          </m:e>
          <m:sub>
            <m:r>
              <m:t>W</m:t>
            </m:r>
            <m:r>
              <m:t>e</m:t>
            </m:r>
            <m:r>
              <m:t>b</m:t>
            </m:r>
            <m:r>
              <m:t>b</m:t>
            </m:r>
          </m:sub>
        </m:sSub>
      </m:oMath>
      <w:r>
        <w:t xml:space="preserve"> </w:t>
      </w:r>
      <w:r>
        <w:t xml:space="preserve">= 0.194): Asymptotic significance does not survive bootstrap correction. This channel is not statistically robust at N = 24; no causal inference is drawn.</w:t>
      </w:r>
    </w:p>
    <w:bookmarkEnd w:id="24"/>
    <w:bookmarkStart w:id="25" w:name="robustness-webb-wild-bootstrap-b-999"/>
    <w:p>
      <w:pPr>
        <w:pStyle w:val="Heading2"/>
      </w:pPr>
      <w:r>
        <w:t xml:space="preserve">4.4 Robustness: Webb Wild Bootstrap (B = 999)</w:t>
      </w:r>
    </w:p>
    <w:p>
      <w:pPr>
        <w:pStyle w:val="FirstParagraph"/>
      </w:pPr>
      <w:r>
        <w:t xml:space="preserve">Two bootstrap procedures are applied to assess inference robustness.</w:t>
      </w:r>
    </w:p>
    <w:p>
      <w:pPr>
        <w:pStyle w:val="BodyText"/>
      </w:pPr>
      <w:r>
        <w:rPr>
          <w:b/>
          <w:bCs/>
        </w:rPr>
        <w:t xml:space="preserve">TY Wald bootstrap:</w:t>
      </w:r>
      <w:r>
        <w:t xml:space="preserve"> </w:t>
      </w:r>
      <w:r>
        <w:t xml:space="preserve">Webb (2023)</w:t>
      </w:r>
      <w:r>
        <w:t xml:space="preserve"> </w:t>
      </w:r>
      <w:r>
        <w:t xml:space="preserve">six-point discrete weights, B = 999 VAR-system wild bootstrap on the TY VAR(2) system (</w:t>
      </w:r>
      <w:r>
        <w:rPr>
          <w:rStyle w:val="VerbatimChar"/>
        </w:rPr>
        <w:t xml:space="preserve">webb_wald_TY_bootstrap.py</w:t>
      </w:r>
      <w:r>
        <w:t xml:space="preserve">, seed = 20260407). Results in Table 2 (</w:t>
      </w:r>
      <m:oMath>
        <m:sSub>
          <m:e>
            <m:r>
              <m:t>p</m:t>
            </m:r>
          </m:e>
          <m:sub>
            <m:r>
              <m:t>W</m:t>
            </m:r>
            <m:r>
              <m:t>e</m:t>
            </m:r>
            <m:r>
              <m:t>b</m:t>
            </m:r>
            <m:r>
              <m:t>b</m:t>
            </m:r>
          </m:sub>
        </m:sSub>
      </m:oMath>
      <w:r>
        <w:t xml:space="preserve"> </w:t>
      </w:r>
      <w:r>
        <w:t xml:space="preserve">column). CO₂ → GDP is strongly robust (</w:t>
      </w:r>
      <m:oMath>
        <m:sSub>
          <m:e>
            <m:r>
              <m:t>p</m:t>
            </m:r>
          </m:e>
          <m:sub>
            <m:r>
              <m:t>W</m:t>
            </m:r>
            <m:r>
              <m:t>e</m:t>
            </m:r>
            <m:r>
              <m:t>b</m:t>
            </m:r>
            <m:r>
              <m:t>b</m:t>
            </m:r>
          </m:sub>
        </m:sSub>
      </m:oMath>
      <w:r>
        <w:t xml:space="preserve"> </w:t>
      </w:r>
      <w:r>
        <w:t xml:space="preserve">= 0.040); GDP → GI marginal (</w:t>
      </w:r>
      <m:oMath>
        <m:sSub>
          <m:e>
            <m:r>
              <m:t>p</m:t>
            </m:r>
          </m:e>
          <m:sub>
            <m:r>
              <m:t>W</m:t>
            </m:r>
            <m:r>
              <m:t>e</m:t>
            </m:r>
            <m:r>
              <m:t>b</m:t>
            </m:r>
            <m:r>
              <m:t>b</m:t>
            </m:r>
          </m:sub>
        </m:sSub>
      </m:oMath>
      <w:r>
        <w:t xml:space="preserve"> </w:t>
      </w:r>
      <w:r>
        <w:t xml:space="preserve">= 0.100); MIG → GI asymptotic significance is spurious (</w:t>
      </w:r>
      <m:oMath>
        <m:sSub>
          <m:e>
            <m:r>
              <m:t>p</m:t>
            </m:r>
          </m:e>
          <m:sub>
            <m:r>
              <m:t>a</m:t>
            </m:r>
            <m:r>
              <m:t>s</m:t>
            </m:r>
            <m:r>
              <m:t>y</m:t>
            </m:r>
            <m:r>
              <m:t>m</m:t>
            </m:r>
            <m:r>
              <m:t>p</m:t>
            </m:r>
          </m:sub>
        </m:sSub>
      </m:oMath>
      <w:r>
        <w:t xml:space="preserve"> </w:t>
      </w:r>
      <w:r>
        <w:t xml:space="preserve">= 0.021 →</w:t>
      </w:r>
      <w:r>
        <w:t xml:space="preserve"> </w:t>
      </w:r>
      <m:oMath>
        <m:sSub>
          <m:e>
            <m:r>
              <m:t>p</m:t>
            </m:r>
          </m:e>
          <m:sub>
            <m:r>
              <m:t>W</m:t>
            </m:r>
            <m:r>
              <m:t>e</m:t>
            </m:r>
            <m:r>
              <m:t>b</m:t>
            </m:r>
            <m:r>
              <m:t>b</m:t>
            </m:r>
          </m:sub>
        </m:sSub>
      </m:oMath>
      <w:r>
        <w:t xml:space="preserve"> </w:t>
      </w:r>
      <w:r>
        <w:t xml:space="preserve">= 0.194). Asymptotic chi-square is confirmed anti-conservative at N = 24.</w:t>
      </w:r>
    </w:p>
    <w:p>
      <w:pPr>
        <w:pStyle w:val="BodyText"/>
      </w:pPr>
      <w:r>
        <w:rPr>
          <w:b/>
          <w:bCs/>
        </w:rPr>
        <w:t xml:space="preserve">ECM bootstrap:</w:t>
      </w:r>
      <w:r>
        <w:t xml:space="preserve"> </w:t>
      </w:r>
      <w:r>
        <w:t xml:space="preserve">In the dynamic ARDL-ECM framework (CO₂ equation), the error-correction coefficient is</w:t>
      </w:r>
      <w:r>
        <w:t xml:space="preserve"> </w:t>
      </w:r>
      <m:oMath>
        <m:sSub>
          <m:e>
            <m:acc>
              <m:accPr>
                <m:chr m:val="̂"/>
              </m:accPr>
              <m:e>
                <m:r>
                  <m:t>β</m:t>
                </m:r>
              </m:e>
            </m:acc>
          </m:e>
          <m:sub>
            <m:r>
              <m:t>E</m:t>
            </m:r>
            <m:r>
              <m:t>C</m:t>
            </m:r>
            <m:r>
              <m:t>T</m:t>
            </m:r>
          </m:sub>
        </m:sSub>
        <m:r>
          <m:rPr>
            <m:sty m:val="p"/>
          </m:rPr>
          <m:t>=</m:t>
        </m:r>
        <m:r>
          <m:rPr>
            <m:sty m:val="p"/>
          </m:rPr>
          <m:t>−</m:t>
        </m:r>
        <m:r>
          <m:t>0.107</m:t>
        </m:r>
      </m:oMath>
      <w:r>
        <w:t xml:space="preserve"> </w:t>
      </w:r>
      <w:r>
        <w:t xml:space="preserve">(asymptotic</w:t>
      </w:r>
      <w:r>
        <w:t xml:space="preserve"> </w:t>
      </w:r>
      <m:oMath>
        <m:r>
          <m:t>p</m:t>
        </m:r>
        <m:r>
          <m:rPr>
            <m:sty m:val="p"/>
          </m:rPr>
          <m:t>=</m:t>
        </m:r>
        <m:r>
          <m:t>0.326</m:t>
        </m:r>
      </m:oMath>
      <w:r>
        <w:t xml:space="preserve">; Webb</w:t>
      </w:r>
      <w:r>
        <w:t xml:space="preserve"> </w:t>
      </w:r>
      <m:oMath>
        <m:r>
          <m:t>p</m:t>
        </m:r>
        <m:r>
          <m:rPr>
            <m:sty m:val="p"/>
          </m:rPr>
          <m:t>=</m:t>
        </m:r>
        <m:r>
          <m:t>0.276</m:t>
        </m:r>
      </m:oMath>
      <w:r>
        <w:t xml:space="preserve">) — statistically insignificant under both criteria. This is consistent with the ARDL bounds test: no confirmed long-run error-correction mechanism exists for the CO₂ equation.</w:t>
      </w:r>
    </w:p>
    <w:p>
      <w:pPr>
        <w:pStyle w:val="BodyText"/>
      </w:pPr>
      <w:r>
        <w:t xml:space="preserve">Table 2 also serves as an implicit falsification matrix: CO₂ → MIG (</w:t>
      </w:r>
      <m:oMath>
        <m:sSub>
          <m:e>
            <m:r>
              <m:t>p</m:t>
            </m:r>
          </m:e>
          <m:sub>
            <m:r>
              <m:t>W</m:t>
            </m:r>
            <m:r>
              <m:t>e</m:t>
            </m:r>
            <m:r>
              <m:t>b</m:t>
            </m:r>
            <m:r>
              <m:t>b</m:t>
            </m:r>
          </m:sub>
        </m:sSub>
      </m:oMath>
      <w:r>
        <w:t xml:space="preserve"> </w:t>
      </w:r>
      <w:r>
        <w:t xml:space="preserve">= 0.514) and MIG → CO₂ (</w:t>
      </w:r>
      <m:oMath>
        <m:sSub>
          <m:e>
            <m:r>
              <m:t>p</m:t>
            </m:r>
          </m:e>
          <m:sub>
            <m:r>
              <m:t>W</m:t>
            </m:r>
            <m:r>
              <m:t>e</m:t>
            </m:r>
            <m:r>
              <m:t>b</m:t>
            </m:r>
            <m:r>
              <m:t>b</m:t>
            </m:r>
          </m:sub>
        </m:sSub>
      </m:oMath>
      <w:r>
        <w:t xml:space="preserve"> </w:t>
      </w:r>
      <w:r>
        <w:t xml:space="preserve">= 0.943) are both insignificant, supporting that the CO₂ → GDP channel does not arise from reverse causality or common-factor shocks. GI → GDP (</w:t>
      </w:r>
      <m:oMath>
        <m:sSub>
          <m:e>
            <m:r>
              <m:t>p</m:t>
            </m:r>
          </m:e>
          <m:sub>
            <m:r>
              <m:t>W</m:t>
            </m:r>
            <m:r>
              <m:t>e</m:t>
            </m:r>
            <m:r>
              <m:t>b</m:t>
            </m:r>
            <m:r>
              <m:t>b</m:t>
            </m:r>
          </m:sub>
        </m:sSub>
      </m:oMath>
      <w:r>
        <w:t xml:space="preserve"> </w:t>
      </w:r>
      <w:r>
        <w:t xml:space="preserve">= 0.347) is also insignificant, confirming that the green finance–growth feedback loop has not yet been activated in Türkiye.</w:t>
      </w:r>
    </w:p>
    <w:bookmarkEnd w:id="25"/>
    <w:bookmarkEnd w:id="26"/>
    <w:bookmarkStart w:id="30" w:name="discussion"/>
    <w:p>
      <w:pPr>
        <w:pStyle w:val="Heading1"/>
      </w:pPr>
      <w:r>
        <w:t xml:space="preserve">5. Discussion</w:t>
      </w:r>
    </w:p>
    <w:bookmarkStart w:id="27" w:name="X277c9552b3acae6f28165845df198e58395e34b"/>
    <w:p>
      <w:pPr>
        <w:pStyle w:val="Heading2"/>
      </w:pPr>
      <w:r>
        <w:t xml:space="preserve">5.1 Migration Does Not Directly Cause Carbon (MIG ↛ CO₂)</w:t>
      </w:r>
    </w:p>
    <w:p>
      <w:pPr>
        <w:pStyle w:val="FirstParagraph"/>
      </w:pPr>
      <w:r>
        <w:t xml:space="preserve">The TY analysis shows that labour migration does not Granger-cause CO₂ emissions in Türkiye (</w:t>
      </w:r>
      <m:oMath>
        <m:r>
          <m:t>χ</m:t>
        </m:r>
        <m:r>
          <m:rPr>
            <m:sty m:val="p"/>
          </m:rPr>
          <m:t>²</m:t>
        </m:r>
        <m:r>
          <m:rPr>
            <m:sty m:val="p"/>
          </m:rPr>
          <m:t>=</m:t>
        </m:r>
        <m:r>
          <m:t>0.08</m:t>
        </m:r>
      </m:oMath>
      <w:r>
        <w:t xml:space="preserve">,</w:t>
      </w:r>
      <w:r>
        <w:t xml:space="preserve"> </w:t>
      </w:r>
      <m:oMath>
        <m:sSub>
          <m:e>
            <m:r>
              <m:t>p</m:t>
            </m:r>
          </m:e>
          <m:sub>
            <m:r>
              <m:t>W</m:t>
            </m:r>
            <m:r>
              <m:t>e</m:t>
            </m:r>
            <m:r>
              <m:t>b</m:t>
            </m:r>
            <m:r>
              <m:t>b</m:t>
            </m:r>
          </m:sub>
        </m:sSub>
      </m:oMath>
      <w:r>
        <w:t xml:space="preserve"> </w:t>
      </w:r>
      <w:r>
        <w:t xml:space="preserve">= 0.943). This finding is broadly consistent with the view — documented in panel studies — that migration’s carbon effect operates through indirect channels. Since the MIG → GI channel also fails to survive bootstrap correction, the claim that migration affects carbon indirectly through green finance cannot be supported with the current data; this remains an open question for future panel analysis.</w:t>
      </w:r>
    </w:p>
    <w:bookmarkEnd w:id="27"/>
    <w:bookmarkStart w:id="28" w:name="Xb327b7b486647b3bdc84659a0c9d61636c986c4"/>
    <w:p>
      <w:pPr>
        <w:pStyle w:val="Heading2"/>
      </w:pPr>
      <w:r>
        <w:t xml:space="preserve">5.2 Migration–Green Finance Link: Not Robust (MIG ↛ GI)</w:t>
      </w:r>
    </w:p>
    <w:p>
      <w:pPr>
        <w:pStyle w:val="FirstParagraph"/>
      </w:pPr>
      <w:r>
        <w:t xml:space="preserve">The asymptotic TY test yields</w:t>
      </w:r>
      <w:r>
        <w:t xml:space="preserve"> </w:t>
      </w:r>
      <m:oMath>
        <m:r>
          <m:t>p</m:t>
        </m:r>
        <m:r>
          <m:rPr>
            <m:sty m:val="p"/>
          </m:rPr>
          <m:t>=</m:t>
        </m:r>
        <m:r>
          <m:t>0.021</m:t>
        </m:r>
      </m:oMath>
      <w:r>
        <w:t xml:space="preserve"> </w:t>
      </w:r>
      <w:r>
        <w:t xml:space="preserve">for MIG → GI; Webb bootstrap reveals this as small-sample inflation (</w:t>
      </w:r>
      <m:oMath>
        <m:sSub>
          <m:e>
            <m:r>
              <m:t>p</m:t>
            </m:r>
          </m:e>
          <m:sub>
            <m:r>
              <m:t>W</m:t>
            </m:r>
            <m:r>
              <m:t>e</m:t>
            </m:r>
            <m:r>
              <m:t>b</m:t>
            </m:r>
            <m:r>
              <m:t>b</m:t>
            </m:r>
          </m:sub>
        </m:sSub>
      </m:oMath>
      <w:r>
        <w:t xml:space="preserve"> </w:t>
      </w:r>
      <w:r>
        <w:t xml:space="preserve">= 0.194). The theoretical framework advanced by</w:t>
      </w:r>
      <w:r>
        <w:t xml:space="preserve"> </w:t>
      </w:r>
      <w:r>
        <w:t xml:space="preserve">Shah et al. (2023)</w:t>
      </w:r>
      <w:r>
        <w:t xml:space="preserve"> </w:t>
      </w:r>
      <w:r>
        <w:t xml:space="preserve">is internally consistent, but sufficient empirical power is not available in the current single-country annual series. Future work should re-test this channel with regional migration data or longer time horizons.</w:t>
      </w:r>
    </w:p>
    <w:bookmarkEnd w:id="28"/>
    <w:bookmarkStart w:id="29" w:name="X591ba922e906383ec42767c0c9318e19a8c043c"/>
    <w:p>
      <w:pPr>
        <w:pStyle w:val="Heading2"/>
      </w:pPr>
      <w:r>
        <w:t xml:space="preserve">5.3 CO₂ Constrains Growth; Growth Enables GI: The Ecological Productivity Paradox</w:t>
      </w:r>
    </w:p>
    <w:p>
      <w:pPr>
        <w:pStyle w:val="FirstParagraph"/>
      </w:pPr>
      <w:r>
        <w:t xml:space="preserve">CO₂ → GDP causality indicates an environmental drag: carbon accumulation imposes a growth cost, reading the right-hand side of the EKC in reverse — not growth causing emissions, but accumulated emissions constraining growth. GDP → GI causality confirms that income expansion opens green investment capacity; however, the absence of GI → GDP indicates the green finance–growth virtuous cycle has not yet been activated in Türkiye. The Ecological Productivity Paradox is partially consistent with these findings: efficiency gains do not directly trigger emission increases, but the income-enabled green finance channel has not yet reached the threshold needed to close the carbon-growth drag.</w:t>
      </w:r>
    </w:p>
    <w:bookmarkEnd w:id="29"/>
    <w:bookmarkEnd w:id="30"/>
    <w:bookmarkStart w:id="31" w:name="conclusion"/>
    <w:p>
      <w:pPr>
        <w:pStyle w:val="Heading1"/>
      </w:pPr>
      <w:r>
        <w:t xml:space="preserve">6. Conclusion</w:t>
      </w:r>
    </w:p>
    <w:p>
      <w:pPr>
        <w:pStyle w:val="FirstParagraph"/>
      </w:pPr>
      <w:r>
        <w:t xml:space="preserve">This paper estimates the Migration-Carbon-Growth-GI causal system for Türkiye over 2000–2023 using the Toda-Yamamoto</w:t>
      </w:r>
      <w:r>
        <w:t xml:space="preserve"> </w:t>
      </w:r>
      <w:r>
        <w:t xml:space="preserve">(Toda &amp; Yamamoto, 1995)</w:t>
      </w:r>
      <w:r>
        <w:t xml:space="preserve"> </w:t>
      </w:r>
      <w:r>
        <w:t xml:space="preserve">framework with Webb</w:t>
      </w:r>
      <w:r>
        <w:t xml:space="preserve"> </w:t>
      </w:r>
      <w:r>
        <w:t xml:space="preserve">(Webb, 2023)</w:t>
      </w:r>
      <w:r>
        <w:t xml:space="preserve"> </w:t>
      </w:r>
      <w:r>
        <w:t xml:space="preserve">wild bootstrap correction. The main finding is precise:</w:t>
      </w:r>
      <w:r>
        <w:t xml:space="preserve"> </w:t>
      </w:r>
      <w:r>
        <w:rPr>
          <w:b/>
          <w:bCs/>
        </w:rPr>
        <w:t xml:space="preserve">CO₂ Granger-causes GDP</w:t>
      </w:r>
      <w:r>
        <w:t xml:space="preserve"> </w:t>
      </w:r>
      <w:r>
        <w:t xml:space="preserve">(</w:t>
      </w:r>
      <m:oMath>
        <m:sSub>
          <m:e>
            <m:r>
              <m:t>p</m:t>
            </m:r>
          </m:e>
          <m:sub>
            <m:r>
              <m:t>W</m:t>
            </m:r>
            <m:r>
              <m:t>e</m:t>
            </m:r>
            <m:r>
              <m:t>b</m:t>
            </m:r>
            <m:r>
              <m:t>b</m:t>
            </m:r>
          </m:sub>
        </m:sSub>
      </m:oMath>
      <w:r>
        <w:t xml:space="preserve"> </w:t>
      </w:r>
      <w:r>
        <w:t xml:space="preserve">= 0.040) — an environmental drag channel that survives small-sample correction. GDP → GI is marginally supported at the 10% level. Migration channels are not statistically robust.</w:t>
      </w:r>
    </w:p>
    <w:p>
      <w:pPr>
        <w:pStyle w:val="BodyText"/>
      </w:pPr>
      <w:r>
        <w:rPr>
          <w:b/>
          <w:bCs/>
        </w:rPr>
        <w:t xml:space="preserve">Policy recommendations:</w:t>
      </w:r>
      <w:r>
        <w:t xml:space="preserve"> </w:t>
      </w:r>
      <w:r>
        <w:t xml:space="preserve">First, the Turkish Ministry of Environment, Urbanisation and Climate Change and the Ministry of Labour should develop coordinated</w:t>
      </w:r>
      <w:r>
        <w:t xml:space="preserve"> </w:t>
      </w:r>
      <w:r>
        <w:t xml:space="preserve">“Green Migration Zone”</w:t>
      </w:r>
      <w:r>
        <w:t xml:space="preserve"> </w:t>
      </w:r>
      <w:r>
        <w:t xml:space="preserve">pilot programmes aligning urban migration flows with green infrastructure investment, contingent on further empirical confirmation using panel data. Second, Türkiye’s 2026 EU ETS alignment process should incorporate a gradual carbon pricing band that balances the short-run growth-emissions trade-off identified by the CO₂ → GDP channel. Third, closing the asymmetry between the confirmed GDP → GI and the unconfirmed GI → GDP requires Treasury-backed green bond programmes and tax incentives targeting infrastructure sectors with high productivity spillovers.</w:t>
      </w:r>
    </w:p>
    <w:p>
      <w:pPr>
        <w:pStyle w:val="BodyText"/>
      </w:pPr>
      <w:r>
        <w:rPr>
          <w:b/>
          <w:bCs/>
        </w:rPr>
        <w:t xml:space="preserve">Limitations:</w:t>
      </w:r>
      <w:r>
        <w:t xml:space="preserve"> </w:t>
      </w:r>
      <w:r>
        <w:t xml:space="preserve">Four specific limitations bound these conclusions. First, N = 24 restricts statistical power severely; the marginal GDP → GI result should be treated as suggestive evidence rather than a confirmed causal claim. Second, the single-country design limits generalisability; panel extension with provincial-level or cross-country data would provide additional confirmation. Third, the Toda-Yamamoto framework identifies predictive precedence, not structural causality</w:t>
      </w:r>
      <w:r>
        <w:t xml:space="preserve"> </w:t>
      </w:r>
      <w:r>
        <w:t xml:space="preserve">(Toda &amp; Yamamoto, 1995)</w:t>
      </w:r>
      <w:r>
        <w:t xml:space="preserve">; the CO₂ → GDP channel does not identify the precise transmission mechanism. Fourth, the green finance (GI) proxy — the OECD Environmental Policy Stringency Index — may not fully capture private green investment flows; alternative GI proxies and sensitivity analysis are warranted in future work.</w:t>
      </w:r>
    </w:p>
    <w:bookmarkEnd w:id="31"/>
    <w:bookmarkStart w:id="46" w:name="references"/>
    <w:p>
      <w:pPr>
        <w:pStyle w:val="Heading1"/>
      </w:pPr>
      <w:r>
        <w:t xml:space="preserve">7. References</w:t>
      </w:r>
    </w:p>
    <w:bookmarkStart w:id="44" w:name="refs"/>
    <w:bookmarkStart w:id="33" w:name="ref-lange2021jevons"/>
    <w:p>
      <w:pPr>
        <w:pStyle w:val="Bibliography"/>
      </w:pPr>
      <w:r>
        <w:t xml:space="preserve">Lange, S., Kern, F., Peuckert, J., &amp; Santarius, T. (2021). The</w:t>
      </w:r>
      <w:r>
        <w:t xml:space="preserve"> </w:t>
      </w:r>
      <w:r>
        <w:t xml:space="preserve">J</w:t>
      </w:r>
      <w:r>
        <w:t xml:space="preserve">evons paradox unravelled: A multi-level typology of rebound effects and mechanisms.</w:t>
      </w:r>
      <w:r>
        <w:t xml:space="preserve"> </w:t>
      </w:r>
      <w:r>
        <w:rPr>
          <w:i/>
          <w:iCs/>
        </w:rPr>
        <w:t xml:space="preserve">Energy Research &amp; Social Science</w:t>
      </w:r>
      <w:r>
        <w:t xml:space="preserve">,</w:t>
      </w:r>
      <w:r>
        <w:t xml:space="preserve"> </w:t>
      </w:r>
      <w:r>
        <w:rPr>
          <w:i/>
          <w:iCs/>
        </w:rPr>
        <w:t xml:space="preserve">74</w:t>
      </w:r>
      <w:r>
        <w:t xml:space="preserve">, 102075.</w:t>
      </w:r>
      <w:r>
        <w:t xml:space="preserve"> </w:t>
      </w:r>
      <w:hyperlink r:id="rId32">
        <w:r>
          <w:rPr>
            <w:rStyle w:val="Hyperlink"/>
          </w:rPr>
          <w:t xml:space="preserve">https://doi.org/10.1016/j.erss.2021.102075</w:t>
        </w:r>
      </w:hyperlink>
    </w:p>
    <w:bookmarkEnd w:id="33"/>
    <w:bookmarkStart w:id="35" w:name="ref-romero2021economic"/>
    <w:p>
      <w:pPr>
        <w:pStyle w:val="Bibliography"/>
      </w:pPr>
      <w:r>
        <w:t xml:space="preserve">Romero, J. P., &amp; Gramkow, C. (2021). Economic complexity and greenhouse gas emissions.</w:t>
      </w:r>
      <w:r>
        <w:t xml:space="preserve"> </w:t>
      </w:r>
      <w:r>
        <w:rPr>
          <w:i/>
          <w:iCs/>
        </w:rPr>
        <w:t xml:space="preserve">World Development</w:t>
      </w:r>
      <w:r>
        <w:t xml:space="preserve">,</w:t>
      </w:r>
      <w:r>
        <w:t xml:space="preserve"> </w:t>
      </w:r>
      <w:r>
        <w:rPr>
          <w:i/>
          <w:iCs/>
        </w:rPr>
        <w:t xml:space="preserve">139</w:t>
      </w:r>
      <w:r>
        <w:t xml:space="preserve">, 105317.</w:t>
      </w:r>
      <w:r>
        <w:t xml:space="preserve"> </w:t>
      </w:r>
      <w:hyperlink r:id="rId34">
        <w:r>
          <w:rPr>
            <w:rStyle w:val="Hyperlink"/>
          </w:rPr>
          <w:t xml:space="preserve">https://doi.org/10.1016/j.worlddev.2020.105317</w:t>
        </w:r>
      </w:hyperlink>
    </w:p>
    <w:bookmarkEnd w:id="35"/>
    <w:bookmarkStart w:id="37" w:name="ref-rosser2021foundations"/>
    <w:p>
      <w:pPr>
        <w:pStyle w:val="Bibliography"/>
      </w:pPr>
      <w:r>
        <w:t xml:space="preserve">Rosser Jr, J. B. (2021).</w:t>
      </w:r>
      <w:r>
        <w:t xml:space="preserve"> </w:t>
      </w:r>
      <w:r>
        <w:rPr>
          <w:i/>
          <w:iCs/>
        </w:rPr>
        <w:t xml:space="preserve">Foundations and applications of complexity economics</w:t>
      </w:r>
      <w:r>
        <w:t xml:space="preserve">. Springer.</w:t>
      </w:r>
      <w:r>
        <w:t xml:space="preserve"> </w:t>
      </w:r>
      <w:hyperlink r:id="rId36">
        <w:r>
          <w:rPr>
            <w:rStyle w:val="Hyperlink"/>
          </w:rPr>
          <w:t xml:space="preserve">https://doi.org/10.1007/978-3-030-70668-5</w:t>
        </w:r>
      </w:hyperlink>
    </w:p>
    <w:bookmarkEnd w:id="37"/>
    <w:bookmarkStart w:id="39" w:name="ref-Shah2023"/>
    <w:p>
      <w:pPr>
        <w:pStyle w:val="Bibliography"/>
      </w:pPr>
      <w:r>
        <w:t xml:space="preserve">Shah, S. B., Sopin, J., Techato, K.-A., &amp; Mudbhari, B. K. (2023). A systematic review on nexus between green finance and climate change: Evidence from china and india.</w:t>
      </w:r>
      <w:r>
        <w:t xml:space="preserve"> </w:t>
      </w:r>
      <w:r>
        <w:rPr>
          <w:i/>
          <w:iCs/>
        </w:rPr>
        <w:t xml:space="preserve">International Journal of Energy Economics and Policy</w:t>
      </w:r>
      <w:r>
        <w:t xml:space="preserve">,</w:t>
      </w:r>
      <w:r>
        <w:t xml:space="preserve"> </w:t>
      </w:r>
      <w:r>
        <w:rPr>
          <w:i/>
          <w:iCs/>
        </w:rPr>
        <w:t xml:space="preserve">13</w:t>
      </w:r>
      <w:r>
        <w:t xml:space="preserve">(4), 599–613.</w:t>
      </w:r>
      <w:r>
        <w:t xml:space="preserve"> </w:t>
      </w:r>
      <w:hyperlink r:id="rId38">
        <w:r>
          <w:rPr>
            <w:rStyle w:val="Hyperlink"/>
          </w:rPr>
          <w:t xml:space="preserve">https://doi.org/10.32479/ijeep.14331</w:t>
        </w:r>
      </w:hyperlink>
    </w:p>
    <w:bookmarkEnd w:id="39"/>
    <w:bookmarkStart w:id="41" w:name="ref-toda1995statistical"/>
    <w:p>
      <w:pPr>
        <w:pStyle w:val="Bibliography"/>
      </w:pPr>
      <w:r>
        <w:t xml:space="preserve">Toda, H. Y., &amp; Yamamoto, T. (1995). Statistical inference in vector autoregressions with possibly integrated processes.</w:t>
      </w:r>
      <w:r>
        <w:t xml:space="preserve"> </w:t>
      </w:r>
      <w:r>
        <w:rPr>
          <w:i/>
          <w:iCs/>
        </w:rPr>
        <w:t xml:space="preserve">Journal of Econometrics</w:t>
      </w:r>
      <w:r>
        <w:t xml:space="preserve">,</w:t>
      </w:r>
      <w:r>
        <w:t xml:space="preserve"> </w:t>
      </w:r>
      <w:r>
        <w:rPr>
          <w:i/>
          <w:iCs/>
        </w:rPr>
        <w:t xml:space="preserve">66</w:t>
      </w:r>
      <w:r>
        <w:t xml:space="preserve">(1-2), 225–250.</w:t>
      </w:r>
      <w:r>
        <w:t xml:space="preserve"> </w:t>
      </w:r>
      <w:hyperlink r:id="rId40">
        <w:r>
          <w:rPr>
            <w:rStyle w:val="Hyperlink"/>
          </w:rPr>
          <w:t xml:space="preserve">https://doi.org/10.1016/0304-4076(94)01616-8</w:t>
        </w:r>
      </w:hyperlink>
    </w:p>
    <w:bookmarkEnd w:id="41"/>
    <w:bookmarkStart w:id="43" w:name="ref-webb2023"/>
    <w:p>
      <w:pPr>
        <w:pStyle w:val="Bibliography"/>
      </w:pPr>
      <w:r>
        <w:t xml:space="preserve">Webb, M. D. (2023). Reworking wild bootstrap-based inference for clustered errors.</w:t>
      </w:r>
      <w:r>
        <w:t xml:space="preserve"> </w:t>
      </w:r>
      <w:r>
        <w:rPr>
          <w:i/>
          <w:iCs/>
        </w:rPr>
        <w:t xml:space="preserve">Canadian Journal of Economics / Revue Canadienne d’</w:t>
      </w:r>
      <w:r>
        <w:rPr>
          <w:i/>
          <w:iCs/>
        </w:rPr>
        <w:t xml:space="preserve">é</w:t>
      </w:r>
      <w:r>
        <w:rPr>
          <w:i/>
          <w:iCs/>
        </w:rPr>
        <w:t xml:space="preserve">conomique</w:t>
      </w:r>
      <w:r>
        <w:t xml:space="preserve">,</w:t>
      </w:r>
      <w:r>
        <w:t xml:space="preserve"> </w:t>
      </w:r>
      <w:r>
        <w:rPr>
          <w:i/>
          <w:iCs/>
        </w:rPr>
        <w:t xml:space="preserve">56</w:t>
      </w:r>
      <w:r>
        <w:t xml:space="preserve">(3), 839–858.</w:t>
      </w:r>
      <w:r>
        <w:t xml:space="preserve"> </w:t>
      </w:r>
      <w:hyperlink r:id="rId42">
        <w:r>
          <w:rPr>
            <w:rStyle w:val="Hyperlink"/>
          </w:rPr>
          <w:t xml:space="preserve">https://doi.org/10.1111/caje.12661</w:t>
        </w:r>
      </w:hyperlink>
    </w:p>
    <w:bookmarkEnd w:id="43"/>
    <w:bookmarkEnd w:id="44"/>
    <w:bookmarkStart w:id="45" w:name="declarations"/>
    <w:p>
      <w:pPr>
        <w:pStyle w:val="Heading2"/>
      </w:pPr>
      <w:r>
        <w:t xml:space="preserve">Declarations</w:t>
      </w:r>
    </w:p>
    <w:p>
      <w:pPr>
        <w:pStyle w:val="FirstParagraph"/>
      </w:pPr>
      <w:r>
        <w:rPr>
          <w:b/>
          <w:bCs/>
        </w:rPr>
        <w:t xml:space="preserve">Author Contributions (CRediT):</w:t>
      </w:r>
      <w:r>
        <w:t xml:space="preserve"> </w:t>
      </w:r>
      <w:r>
        <w:t xml:space="preserve">Author 1: Conceptualization, Literature Review, Writing – Original Draft. Author 2: Methodology, Formal Analysis, Data Curation, Software (Webb bootstrap), Writing – Review &amp; Editing.</w:t>
      </w:r>
    </w:p>
    <w:p>
      <w:pPr>
        <w:pStyle w:val="BodyText"/>
      </w:pPr>
      <w:r>
        <w:rPr>
          <w:b/>
          <w:bCs/>
        </w:rPr>
        <w:t xml:space="preserve">Data Availability:</w:t>
      </w:r>
      <w:r>
        <w:t xml:space="preserve"> </w:t>
      </w:r>
      <w:r>
        <w:t xml:space="preserve">All data are publicly available. Migration and GDP: World Bank WDI. CO₂: World Bank/EDGAR. Green Finance (GI): OECD Environmental Policy Stringency Index. Replication code available upon request.</w:t>
      </w:r>
    </w:p>
    <w:p>
      <w:pPr>
        <w:pStyle w:val="BodyText"/>
      </w:pPr>
      <w:r>
        <w:rPr>
          <w:b/>
          <w:bCs/>
        </w:rPr>
        <w:t xml:space="preserve">Conflict of Interest:</w:t>
      </w:r>
      <w:r>
        <w:t xml:space="preserve"> </w:t>
      </w:r>
      <w:r>
        <w:t xml:space="preserve">The authors declare no conflict of interest.</w:t>
      </w:r>
    </w:p>
    <w:p>
      <w:pPr>
        <w:pStyle w:val="BodyText"/>
      </w:pPr>
      <w:r>
        <w:rPr>
          <w:b/>
          <w:bCs/>
        </w:rPr>
        <w:t xml:space="preserve">Funding:</w:t>
      </w:r>
      <w:r>
        <w:t xml:space="preserve"> </w:t>
      </w:r>
      <w:r>
        <w:t xml:space="preserve">This research received no specific grant from any funding agency in the public, commercial, or not-for-profit sectors.</w:t>
      </w:r>
    </w:p>
    <w:p>
      <w:pPr>
        <w:pStyle w:val="BodyText"/>
      </w:pPr>
      <w:r>
        <w:rPr>
          <w:b/>
          <w:bCs/>
        </w:rPr>
        <w:t xml:space="preserve">Ethical Approval:</w:t>
      </w:r>
      <w:r>
        <w:t xml:space="preserve"> </w:t>
      </w:r>
      <w:r>
        <w:t xml:space="preserve">Not applicable (publicly available macroeconomic data; no human or animal subjects).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doi.org/10.1007/978-3-030-70668-5" TargetMode="External" /><Relationship Type="http://schemas.openxmlformats.org/officeDocument/2006/relationships/hyperlink" Id="rId40" Target="https://doi.org/10.1016/0304-4076(94)01616-8" TargetMode="External" /><Relationship Type="http://schemas.openxmlformats.org/officeDocument/2006/relationships/hyperlink" Id="rId32" Target="https://doi.org/10.1016/j.erss.2021.102075" TargetMode="External" /><Relationship Type="http://schemas.openxmlformats.org/officeDocument/2006/relationships/hyperlink" Id="rId34" Target="https://doi.org/10.1016/j.worlddev.2020.105317" TargetMode="External" /><Relationship Type="http://schemas.openxmlformats.org/officeDocument/2006/relationships/hyperlink" Id="rId42" Target="https://doi.org/10.1111/caje.12661" TargetMode="External" /><Relationship Type="http://schemas.openxmlformats.org/officeDocument/2006/relationships/hyperlink" Id="rId38" Target="https://doi.org/10.32479/ijeep.14331"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978-3-030-70668-5" TargetMode="External" /><Relationship Type="http://schemas.openxmlformats.org/officeDocument/2006/relationships/hyperlink" Id="rId40" Target="https://doi.org/10.1016/0304-4076(94)01616-8" TargetMode="External" /><Relationship Type="http://schemas.openxmlformats.org/officeDocument/2006/relationships/hyperlink" Id="rId32" Target="https://doi.org/10.1016/j.erss.2021.102075" TargetMode="External" /><Relationship Type="http://schemas.openxmlformats.org/officeDocument/2006/relationships/hyperlink" Id="rId34" Target="https://doi.org/10.1016/j.worlddev.2020.105317" TargetMode="External" /><Relationship Type="http://schemas.openxmlformats.org/officeDocument/2006/relationships/hyperlink" Id="rId42" Target="https://doi.org/10.1111/caje.12661" TargetMode="External" /><Relationship Type="http://schemas.openxmlformats.org/officeDocument/2006/relationships/hyperlink" Id="rId38" Target="https://doi.org/10.32479/ijeep.143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 in the Migration-Carbon-Growth Nexus: A Structural Evaluation of Green Finance and the Ecological Productivity Paradox in Türkiye</dc:title>
  <dc:creator>Author 1; Author 2</dc:creator>
  <cp:keywords>migration-carbon nexus, Ecological Productivity Paradox, green finance, Toda-Yamamoto causality, Webb bootstrap, Türkiye</cp:keywords>
  <dcterms:created xsi:type="dcterms:W3CDTF">2026-04-28T19:11:52Z</dcterms:created>
  <dcterms:modified xsi:type="dcterms:W3CDTF">2026-04-28T19:11:52Z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asks a specific causal question: does carbon accumulation Granger-cause economic growth in Türkiye, and is the migration-carbon nexus empirically identifiable using annual time-series data? Using annual data for Türkiye over 2000–2023 (T = 24), we apply the Toda-Yamamoto (1995) modified Wald causality procedure on a four-variable VAR system comprising labour migration (MIG), CO₂ emissions, green finance (GI), and GDP. All inference is based on Webb (2023) wild bootstrap with B = 999 replications to correct for severe size distortion of asymptotic χ² critical values at N = 24. CO₂ → GDP is the sole statistically robust causality channel (p_{Webb} = 0.040), consistent with an environmental drag on growth. GDP → GI is marginally supported at the 10% level (p_{Webb} = 0.100). MIG → CO₂ (p_{Webb} = 0.943) and MIG → GI (p_{Webb} = 0.194) are not robust — the latter appearing significant under asymptotic testing (p = 0.021) but collapsing under bootstrap correction, a textbook illustration of small-sample inflation. These results imply that Türkiye’s path toward net-zero requires addressing the carbon-to-growth drag channel directly, rather than relying on migration-driven green-finance spillovers.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2026-04-25</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el">
    <vt:lpwstr/>
  </property>
  <property fmtid="{D5CDD505-2E9C-101B-9397-08002B2CF9AE}" pid="16" name="labels">
    <vt:lpwstr/>
  </property>
  <property fmtid="{D5CDD505-2E9C-101B-9397-08002B2CF9AE}" pid="17" name="toc-title">
    <vt:lpwstr>Table of contents</vt:lpwstr>
  </property>
</Properties>
</file>