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8"/>
        </w:rPr>
        <w:t>Agentic BPM Deney Düzeneği</w:t>
      </w:r>
    </w:p>
    <w:p>
      <w:r>
        <w:rPr>
          <w:color w:val="2E6F8E"/>
          <w:sz w:val="26"/>
        </w:rPr>
        <w:t>Referans çalışma, iş paketleri ve veri seti yönergeleri</w:t>
      </w:r>
    </w:p>
    <w:p>
      <w:pPr>
        <w:pBdr>
          <w:bottom w:val="single" w:sz="8" w:color="2E6F8E" w:space="6"/>
        </w:pBdr>
      </w:pPr>
      <w:r>
        <w:rPr>
          <w:color w:val="555F6B"/>
          <w:sz w:val="20"/>
        </w:rPr>
        <w:t>CAiSE 2027 ortak çalışması · 08.10.2026</w:t>
      </w:r>
    </w:p>
    <w:p/>
    <w:p>
      <w:r>
        <w:rPr>
          <w:b/>
        </w:rPr>
        <w:t>İçerik</w:t>
      </w:r>
    </w:p>
    <w:p>
      <w:pPr>
        <w:spacing w:after="40"/>
        <w:ind w:left="283"/>
      </w:pPr>
      <w:r>
        <w:t>0.  Referans çalışma: Skolik 2026</w:t>
      </w:r>
    </w:p>
    <w:p>
      <w:pPr>
        <w:spacing w:after="40"/>
        <w:ind w:left="283"/>
      </w:pPr>
      <w:r>
        <w:t>1.  İş Paketi 1: Camunda düzeneği ve kural tabanlı L0</w:t>
      </w:r>
    </w:p>
    <w:p>
      <w:pPr>
        <w:spacing w:after="40"/>
        <w:ind w:left="283"/>
      </w:pPr>
      <w:r>
        <w:t>2.  Veri setleri</w:t>
      </w:r>
    </w:p>
    <w:p>
      <w:pPr>
        <w:spacing w:after="40"/>
        <w:ind w:left="283"/>
      </w:pPr>
      <w:r>
        <w:t>3.  İş Paketi 2: LLM ajanı ve provenance</w:t>
      </w:r>
    </w:p>
    <w:p>
      <w:pPr>
        <w:pStyle w:val="Heading1"/>
      </w:pPr>
      <w:r>
        <w:t>0. Referans çalışma: Skolik 2026 nasıl yapmış</w:t>
      </w:r>
    </w:p>
    <w:p>
      <w:pPr>
        <w:pStyle w:val="Heading2"/>
      </w:pPr>
      <w:r>
        <w:t>Mimari</w:t>
      </w:r>
    </w:p>
    <w:p>
      <w:r>
        <w:rPr>
          <w:b w:val="0"/>
        </w:rPr>
        <w:t>LangChain ile yazılmış iki ReAct ajanı:</w:t>
      </w:r>
    </w:p>
    <w:p>
      <w:pPr>
        <w:pStyle w:val="ListBullet"/>
        <w:spacing w:after="40"/>
      </w:pPr>
      <w:r>
        <w:rPr>
          <w:b/>
        </w:rPr>
        <w:t>Frame Agent:</w:t>
      </w:r>
      <w:r>
        <w:rPr>
          <w:b w:val="0"/>
        </w:rPr>
        <w:t xml:space="preserve"> İnsanın yazdığı açıklamadan ya da bir BPMN dosyasından yapılandırılmış bir "process rule" üretir ve kural veritabanına yazar.</w:t>
      </w:r>
    </w:p>
    <w:p>
      <w:pPr>
        <w:pStyle w:val="ListBullet"/>
        <w:spacing w:after="40"/>
      </w:pPr>
      <w:r>
        <w:rPr>
          <w:b/>
        </w:rPr>
        <w:t>Operational Agent:</w:t>
      </w:r>
      <w:r>
        <w:rPr>
          <w:b w:val="0"/>
        </w:rPr>
        <w:t xml:space="preserve"> Kuralı okur ve süreci kendi araçlarıyla uygular. Araçları: SQL sorgusu, CSV yazma, e-posta gönderme (insana yükseltme) ve veritabanı dokümantasyonu.</w:t>
      </w:r>
    </w:p>
    <w:p>
      <w:pPr>
        <w:pStyle w:val="Heading2"/>
      </w:pPr>
      <w:r>
        <w:t>Deney kurgusu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Süreç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Alman bir elektrik dağıtım şirketinin sayaç okuma hazırlık alt süreci, gerçek SAP verisiyle.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"Uyarlama" ne demek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Ajana verilen kuralın değişmesi:</w:t>
            </w:r>
          </w:p>
          <w:p>
            <w:pPr>
              <w:spacing w:after="40"/>
            </w:pPr>
            <w:r>
              <w:rPr>
                <w:b w:val="0"/>
              </w:rPr>
              <w:t>• 5 operasyonel değişiklik (bölge ve şehir kuralları)</w:t>
            </w:r>
          </w:p>
          <w:p>
            <w:pPr>
              <w:spacing w:after="40"/>
            </w:pPr>
            <w:r>
              <w:rPr>
                <w:b w:val="0"/>
              </w:rPr>
              <w:t>• 2 taktik değişiklik (direct mail, zorunlu okuma)</w:t>
            </w:r>
          </w:p>
          <w:p>
            <w:pPr>
              <w:spacing w:after="40"/>
            </w:pPr>
            <w:r>
              <w:rPr>
                <w:b w:val="0"/>
              </w:rPr>
              <w:t>• 2 istisna (tablo adında yazım hatası; veritabanı bağlantı hatası — bu durumda insana yükseltmesi bekleniyor)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Karşılaştırılanlar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Tek ajanlı bir temel çözüm (baseline), kuralın insan açıklamasından eklendiği sürüm ve kuralın BPMN'den üretildiği sürüm.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Modeller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GPT-5.4, GPT-5.1 ve Qwen3.5-35B. Toplam 2.280 koşu (seed'li tekrarlarla).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Metrikler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Tamamlanma oranı (son çıktı dosyası beklenen sonuçla karşılaştırılıyor), süre ve adım sayısı.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Sonuçlar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Operasyonel değişikliklerde iyi modeller ~%100 başarıya ulaşıyor. Taktik değişikliklerde başarı %35–90 aralığına düşüyor; açık kaynak modelde bazı değişikliklerde %0'a iniyor.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Kod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github.com/skaltenp/modular_agents_4_abpms</w:t>
            </w:r>
          </w:p>
        </w:tc>
      </w:tr>
    </w:tbl>
    <w:p>
      <w:pPr>
        <w:spacing w:after="40"/>
      </w:pPr>
    </w:p>
    <w:p>
      <w:pPr>
        <w:pStyle w:val="Heading2"/>
      </w:pPr>
      <w:r>
        <w:t>Zayıf yanları</w:t>
      </w:r>
    </w:p>
    <w:p>
      <w:pPr>
        <w:pStyle w:val="ListBullet"/>
        <w:spacing w:after="40"/>
      </w:pPr>
      <w:r>
        <w:rPr>
          <w:b w:val="0"/>
        </w:rPr>
        <w:t>Ajanın kurala uyup uymadığını kontrol eden bir mekanizma yok. Araç hatası vermeyen sapmalar yakalanmıyor.</w:t>
      </w:r>
    </w:p>
    <w:p>
      <w:pPr>
        <w:pStyle w:val="ListBullet"/>
        <w:spacing w:after="40"/>
      </w:pPr>
      <w:r>
        <w:rPr>
          <w:b w:val="0"/>
        </w:rPr>
        <w:t>Kural ihlali ölçülmüyor.</w:t>
      </w:r>
    </w:p>
    <w:p>
      <w:pPr>
        <w:pStyle w:val="ListBullet"/>
        <w:spacing w:after="40"/>
      </w:pPr>
      <w:r>
        <w:rPr>
          <w:b w:val="0"/>
        </w:rPr>
        <w:t>Gerçek bir süreç motoru yok.</w:t>
      </w:r>
    </w:p>
    <w:p>
      <w:r>
        <w:br w:type="page"/>
      </w:r>
    </w:p>
    <w:p>
      <w:pPr>
        <w:pStyle w:val="Heading1"/>
      </w:pPr>
      <w:r>
        <w:t>1. İş Paketi 1: Camunda düzeneği ve kural tabanlı L0</w:t>
      </w:r>
    </w:p>
    <w:p>
      <w:pPr>
        <w:pStyle w:val="Heading2"/>
      </w:pPr>
      <w:r>
        <w:t>1.1 Camunda 8'i yerelde kurmak</w:t>
      </w:r>
    </w:p>
    <w:p>
      <w:pPr>
        <w:pStyle w:val="ListBullet"/>
        <w:spacing w:after="40"/>
      </w:pPr>
      <w:r>
        <w:rPr>
          <w:b w:val="0"/>
        </w:rPr>
        <w:t>Camunda 8 Run ya da docker-compose ile süreç motoru (Zeebe) ve izleme ekranları (Operate, Tasklist).</w:t>
      </w:r>
    </w:p>
    <w:p>
      <w:pPr>
        <w:pStyle w:val="ListBullet"/>
        <w:spacing w:after="40"/>
      </w:pPr>
      <w:r>
        <w:rPr>
          <w:b/>
        </w:rPr>
        <w:t>Sürüm sabitlenmeli.</w:t>
      </w:r>
    </w:p>
    <w:p>
      <w:pPr>
        <w:pStyle w:val="ListBullet"/>
        <w:spacing w:after="40"/>
      </w:pPr>
      <w:r>
        <w:rPr>
          <w:b w:val="0"/>
        </w:rPr>
        <w:t>Python istemcisi olarak Camunda REST API ya da pyzeebe kullanılabilir; hangisinin kurulan sürümle uyumlu olduğu kurulumda kontrol edilmeli.</w:t>
      </w:r>
    </w:p>
    <w:p>
      <w:pPr>
        <w:pStyle w:val="Heading2"/>
      </w:pPr>
      <w:r>
        <w:t>1.2 BPMN süreci</w:t>
      </w:r>
    </w:p>
    <w:p>
      <w:r>
        <w:rPr>
          <w:b w:val="0"/>
        </w:rPr>
        <w:t>Sipariş-tahsilat ya da tedarik gibi 10–12 adımlı bir süreç. İçinde şunlar olmalı:</w:t>
      </w:r>
    </w:p>
    <w:p>
      <w:pPr>
        <w:pStyle w:val="ListBullet"/>
        <w:spacing w:after="40"/>
      </w:pPr>
      <w:r>
        <w:rPr>
          <w:b w:val="0"/>
        </w:rPr>
        <w:t>servis görevleri (service task)</w:t>
      </w:r>
    </w:p>
    <w:p>
      <w:pPr>
        <w:pStyle w:val="ListBullet"/>
        <w:spacing w:after="40"/>
      </w:pPr>
      <w:r>
        <w:rPr>
          <w:b w:val="0"/>
        </w:rPr>
        <w:t>bir DMN karar tablosu</w:t>
      </w:r>
    </w:p>
    <w:p>
      <w:pPr>
        <w:pStyle w:val="ListBullet"/>
        <w:spacing w:after="40"/>
      </w:pPr>
      <w:r>
        <w:rPr>
          <w:b w:val="0"/>
        </w:rPr>
        <w:t>koşullu dallanma (exclusive gateway)</w:t>
      </w:r>
    </w:p>
    <w:p>
      <w:pPr>
        <w:pStyle w:val="ListBullet"/>
        <w:spacing w:after="40"/>
      </w:pPr>
      <w:r>
        <w:rPr>
          <w:b w:val="0"/>
        </w:rPr>
        <w:t>insan onayı adımı (user task); "ajan önerir, insan onaylar" düzeyi için gerekli</w:t>
      </w:r>
    </w:p>
    <w:p>
      <w:pPr>
        <w:pStyle w:val="ListBullet"/>
        <w:spacing w:after="40"/>
      </w:pPr>
      <w:r>
        <w:rPr>
          <w:b w:val="0"/>
        </w:rPr>
        <w:t>SLA için zamanlayıcı (boundary timer) ve hata yakalama (boundary error)</w:t>
      </w:r>
    </w:p>
    <w:p>
      <w:pPr>
        <w:pStyle w:val="ListBullet"/>
        <w:spacing w:after="40"/>
      </w:pPr>
      <w:r>
        <w:rPr>
          <w:b w:val="0"/>
        </w:rPr>
        <w:t>bir mesaj olayı (message event)</w:t>
      </w:r>
    </w:p>
    <w:p>
      <w:pPr>
        <w:pStyle w:val="Heading2"/>
      </w:pPr>
      <w:r>
        <w:t>1.3 Sahte dış sistemler</w:t>
      </w:r>
    </w:p>
    <w:p>
      <w:r>
        <w:rPr>
          <w:b w:val="0"/>
        </w:rPr>
        <w:t>SQLite ile stok ve müşteri veritabanı, sahte ödeme ve kargo servisleri. Hata ve gecikme davranışları parametreyle ayarlanabilmeli.</w:t>
      </w:r>
    </w:p>
    <w:p>
      <w:pPr>
        <w:pStyle w:val="Heading2"/>
      </w:pPr>
      <w:r>
        <w:t>1.4 Görev işçileri (job worker)</w:t>
      </w:r>
    </w:p>
    <w:p>
      <w:r>
        <w:rPr>
          <w:b w:val="0"/>
        </w:rPr>
        <w:t xml:space="preserve">Python ile, her servis görevinin süresini, hata olasılığını ve veriye etkisini simüle eder. </w:t>
      </w:r>
      <w:r>
        <w:rPr>
          <w:b/>
        </w:rPr>
        <w:t>Bütün rastgelelik seed ile yönetilir.</w:t>
      </w:r>
    </w:p>
    <w:p>
      <w:pPr>
        <w:pStyle w:val="Heading2"/>
      </w:pPr>
      <w:r>
        <w:t>1.5 Örnek üreteci</w:t>
      </w:r>
    </w:p>
    <w:p>
      <w:r>
        <w:rPr>
          <w:b w:val="0"/>
        </w:rPr>
        <w:t>Süreç örneklerini Poisson dağılımıyla başlatır. Vaka özellikleri (müşteri tipi, tutar, bölge) de seed'li üretilir.</w:t>
      </w:r>
    </w:p>
    <w:p>
      <w:pPr>
        <w:pStyle w:val="Heading2"/>
      </w:pPr>
      <w:r>
        <w:t>1.6 Aksaklık enjektörü</w:t>
      </w:r>
    </w:p>
    <w:p>
      <w:pPr>
        <w:pStyle w:val="ListBullet"/>
        <w:spacing w:after="40"/>
      </w:pPr>
      <w:r>
        <w:rPr>
          <w:b w:val="0"/>
        </w:rPr>
        <w:t>YAML dosyalarında tanımlı senaryolar.</w:t>
      </w:r>
    </w:p>
    <w:p>
      <w:pPr>
        <w:pStyle w:val="ListBullet"/>
        <w:spacing w:after="40"/>
      </w:pPr>
      <w:r>
        <w:rPr>
          <w:b w:val="0"/>
        </w:rPr>
        <w:t>Senaryo türleri:</w:t>
      </w:r>
    </w:p>
    <w:p>
      <w:pPr>
        <w:pStyle w:val="ListBullet2"/>
        <w:spacing w:after="40"/>
      </w:pPr>
      <w:r>
        <w:rPr>
          <w:b w:val="0"/>
        </w:rPr>
        <w:t>servis kesintisi</w:t>
      </w:r>
    </w:p>
    <w:p>
      <w:pPr>
        <w:pStyle w:val="ListBullet2"/>
        <w:spacing w:after="40"/>
      </w:pPr>
      <w:r>
        <w:rPr>
          <w:b w:val="0"/>
        </w:rPr>
        <w:t>zaman aşımı</w:t>
      </w:r>
    </w:p>
    <w:p>
      <w:pPr>
        <w:pStyle w:val="ListBullet2"/>
        <w:spacing w:after="40"/>
      </w:pPr>
      <w:r>
        <w:rPr>
          <w:b w:val="0"/>
        </w:rPr>
        <w:t>eksik veri</w:t>
      </w:r>
    </w:p>
    <w:p>
      <w:pPr>
        <w:pStyle w:val="ListBullet2"/>
        <w:spacing w:after="40"/>
      </w:pPr>
      <w:r>
        <w:rPr>
          <w:b w:val="0"/>
        </w:rPr>
        <w:t>kaynak yokluğu</w:t>
      </w:r>
    </w:p>
    <w:p>
      <w:pPr>
        <w:pStyle w:val="ListBullet2"/>
        <w:spacing w:after="40"/>
      </w:pPr>
      <w:r>
        <w:rPr>
          <w:b w:val="0"/>
        </w:rPr>
        <w:t>SLA riski</w:t>
      </w:r>
    </w:p>
    <w:p>
      <w:pPr>
        <w:pStyle w:val="ListBullet2"/>
        <w:spacing w:after="40"/>
      </w:pPr>
      <w:r>
        <w:rPr>
          <w:b w:val="0"/>
        </w:rPr>
        <w:t>taktik kural değişikliği</w:t>
      </w:r>
    </w:p>
    <w:p>
      <w:pPr>
        <w:pStyle w:val="ListBullet"/>
        <w:spacing w:after="40"/>
      </w:pPr>
      <w:r>
        <w:rPr>
          <w:b w:val="0"/>
        </w:rPr>
        <w:t>Her aksaklık için kabul edilebilir doğru yanıtlar önceden kaydedilir (</w:t>
      </w:r>
      <w:r>
        <w:rPr>
          <w:b/>
        </w:rPr>
        <w:t>oracle</w:t>
      </w:r>
      <w:r>
        <w:rPr>
          <w:b w:val="0"/>
        </w:rPr>
        <w:t>).</w:t>
      </w:r>
    </w:p>
    <w:p>
      <w:pPr>
        <w:pStyle w:val="Heading2"/>
      </w:pPr>
      <w:r>
        <w:t>1.7 Uyarlama arayüzü</w:t>
      </w:r>
    </w:p>
    <w:p>
      <w:r>
        <w:rPr>
          <w:b w:val="0"/>
        </w:rPr>
        <w:t>Ajanın sonradan takılacağı nokta.</w:t>
      </w:r>
    </w:p>
    <w:p>
      <w:pPr>
        <w:pStyle w:val="ListBullet"/>
        <w:spacing w:after="40"/>
      </w:pPr>
      <w:r>
        <w:rPr>
          <w:b w:val="0"/>
        </w:rPr>
        <w:t>Bir izleyici Camunda'daki hataları, olayları ve zaman aşımlarını yakalar.</w:t>
      </w:r>
    </w:p>
    <w:p>
      <w:pPr>
        <w:pStyle w:val="ListBullet"/>
        <w:spacing w:after="40"/>
      </w:pPr>
      <w:r>
        <w:rPr>
          <w:b w:val="0"/>
        </w:rPr>
        <w:t>Bunları bir uyarlama isteği olarak (vaka durumu ve bağlamıyla) bir işleyiciye verir.</w:t>
      </w:r>
    </w:p>
    <w:p>
      <w:pPr>
        <w:pStyle w:val="ListBullet"/>
        <w:spacing w:after="40"/>
      </w:pPr>
      <w:r>
        <w:rPr>
          <w:b w:val="0"/>
        </w:rPr>
        <w:t>İlk sürümde işleyici kural tabanlı olur: yeniden deneme, alternatif servis, insana yükseltme. Bu, LLM'siz karşılaştırma düzeyi (</w:t>
      </w:r>
      <w:r>
        <w:rPr>
          <w:b/>
        </w:rPr>
        <w:t>L0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>LLM ajanı daha sonra aynı arayüze bağlanır.</w:t>
      </w:r>
    </w:p>
    <w:p>
      <w:pPr>
        <w:pStyle w:val="Heading2"/>
      </w:pPr>
      <w:r>
        <w:t>1.8 Olay günlüğü</w:t>
      </w:r>
    </w:p>
    <w:p>
      <w:pPr>
        <w:pStyle w:val="ListBullet"/>
        <w:spacing w:after="40"/>
      </w:pPr>
      <w:r>
        <w:rPr>
          <w:b w:val="0"/>
        </w:rPr>
        <w:t>İşçiler ve izleyici kendi günlüğünü yazar.</w:t>
      </w:r>
    </w:p>
    <w:p>
      <w:pPr>
        <w:pStyle w:val="ListBullet"/>
        <w:spacing w:after="40"/>
      </w:pPr>
      <w:r>
        <w:rPr>
          <w:b/>
        </w:rPr>
        <w:t>Alanlar:</w:t>
      </w:r>
      <w:r>
        <w:rPr>
          <w:b w:val="0"/>
        </w:rPr>
        <w:t xml:space="preserve"> vaka kimliği, aktivite, zaman damgası, kaynak, aksaklık etiketi, yapılan müdahale.</w:t>
      </w:r>
    </w:p>
    <w:p>
      <w:pPr>
        <w:pStyle w:val="ListBullet"/>
        <w:spacing w:after="40"/>
      </w:pPr>
      <w:r>
        <w:rPr>
          <w:b w:val="0"/>
        </w:rPr>
        <w:t>Günlük PM4Py ile XES/OCEL biçimine aktarılır.</w:t>
      </w:r>
    </w:p>
    <w:p>
      <w:pPr>
        <w:pStyle w:val="ListBullet"/>
        <w:spacing w:after="40"/>
      </w:pPr>
      <w:r>
        <w:rPr>
          <w:b w:val="0"/>
        </w:rPr>
        <w:t>Camunda'nın kendi geçmiş kayıtlarına (Operate/Elasticsearch) bağımlı olmamak daha kolay ve daha kontrol edilebilir.</w:t>
      </w:r>
    </w:p>
    <w:p>
      <w:pPr>
        <w:pStyle w:val="ListBullet"/>
        <w:spacing w:after="40"/>
      </w:pPr>
      <w:r>
        <w:rPr>
          <w:b w:val="0"/>
        </w:rPr>
        <w:t>Bu günlük ileride provenance kaydının da temeli olur.</w:t>
      </w:r>
    </w:p>
    <w:p>
      <w:pPr>
        <w:pStyle w:val="Heading2"/>
      </w:pPr>
      <w:r>
        <w:t>1.9 Tekrarlanabilirlik</w:t>
      </w:r>
    </w:p>
    <w:p>
      <w:r>
        <w:rPr>
          <w:b w:val="0"/>
        </w:rPr>
        <w:t>Her koşuda koşu kimliği, seed, ayar dosyasının özeti ve yazılım sürümleri kaydedilir.</w:t>
      </w:r>
    </w:p>
    <w:p>
      <w:pPr>
        <w:pStyle w:val="Heading2"/>
      </w:pPr>
      <w:r>
        <w:t>1.10 İlk teslimin kabul ölçütü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E0A030"/>
          <w:left w:val="single" w:sz="4" w:color="E0A030"/>
          <w:bottom w:val="single" w:sz="4" w:color="E0A030"/>
          <w:right w:val="single" w:sz="4" w:color="E0A030"/>
          <w:insideH w:val="single" w:sz="4" w:color="E0A030"/>
          <w:insideV w:val="single" w:sz="4" w:color="E0A030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</w:tblPr>
      <w:tblGrid>
        <w:gridCol w:w="9298"/>
      </w:tblGrid>
      <w:tr>
        <w:tc>
          <w:tcPr>
            <w:tcW w:type="dxa" w:w="9298"/>
            <w:shd w:val="clear" w:color="auto" w:fill="FFF6E0"/>
          </w:tcPr>
          <w:p>
            <w:r>
              <w:rPr>
                <w:b/>
                <w:color w:val="1F3A5F"/>
              </w:rPr>
              <w:t>Kabul ölçütleri — İş Paketi 1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 xml:space="preserve">☐  </w:t>
            </w:r>
            <w:r>
              <w:rPr>
                <w:b/>
              </w:rPr>
              <w:t>run --scenario X --seed N --instances 200</w:t>
            </w:r>
            <w:r>
              <w:rPr>
                <w:b w:val="0"/>
              </w:rPr>
              <w:t xml:space="preserve"> komutu, kural tabanlı işleyiciyle uçtan uca çalışmalı ve XES günlüğü üretmeli.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Aksaklık olmayan koşuda bütün örnekler tamamlanmalı.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Aksaklıklı koşuda kural tabanlı işleyicinin başarı ve ihlal oranları raporlanmalı.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Veri setleri</w:t>
      </w:r>
    </w:p>
    <w:p>
      <w:r>
        <w:rPr>
          <w:b w:val="0"/>
        </w:rPr>
        <w:t xml:space="preserve">Başlangıç için </w:t>
      </w:r>
      <w:r>
        <w:rPr>
          <w:b/>
        </w:rPr>
        <w:t>BPIC 2019</w:t>
      </w:r>
      <w:r>
        <w:rPr>
          <w:b w:val="0"/>
        </w:rPr>
        <w:t xml:space="preserve"> önerilir, ikinci sırada </w:t>
      </w:r>
      <w:r>
        <w:rPr>
          <w:b/>
        </w:rPr>
        <w:t>BPIC 2017</w:t>
      </w:r>
      <w:r>
        <w:rPr>
          <w:b w:val="0"/>
        </w:rPr>
        <w:t>. Liste kendi bilgime dayanıyor; boyut, içerik ve lisansı indirirken doğrulamak gerekiyor.</w:t>
      </w:r>
    </w:p>
    <w:p>
      <w:pPr>
        <w:pStyle w:val="Heading2"/>
      </w:pPr>
      <w:r>
        <w:t>2.1 Ön not: günlükten çalıştırılabilir modele</w:t>
      </w:r>
    </w:p>
    <w:p>
      <w:r>
        <w:rPr>
          <w:b w:val="0"/>
        </w:rPr>
        <w:t>Bu veri setlerinin hepsi olay günlüğü, yani doğrudan çalıştırılamazlar. Demolarda kullanmak için şu ara adım gerekiyor:</w:t>
      </w:r>
    </w:p>
    <w:p>
      <w:pPr>
        <w:pStyle w:val="ListNumber"/>
        <w:spacing w:after="40"/>
      </w:pPr>
      <w:r>
        <w:rPr>
          <w:b w:val="0"/>
        </w:rPr>
        <w:t>Günlükten bir simülasyon modeli çıkarılır. Bunun için Tartu grubunun (Dumas) Simod ve Prosimos araçları kullanılabilir. Çıkan model BPMN'i, vaka geliş dağılımını, adım sürelerini, kaynakları/takvimleri ve dallanma olasılıklarını içerir.</w:t>
      </w:r>
    </w:p>
    <w:p>
      <w:pPr>
        <w:pStyle w:val="ListNumber"/>
        <w:spacing w:after="40"/>
      </w:pPr>
      <w:r>
        <w:rPr>
          <w:b w:val="0"/>
        </w:rPr>
        <w:t>Bu model Camunda'ya ya da demodaki simülatöre verilir.</w:t>
      </w:r>
    </w:p>
    <w:p>
      <w:pPr>
        <w:pStyle w:val="ListNumber"/>
        <w:spacing w:after="40"/>
      </w:pPr>
      <w:r>
        <w:rPr>
          <w:b w:val="0"/>
        </w:rPr>
        <w:t>Aksaklıklar günlükten çıkarılır ya da üstüne enjekte edilir.</w:t>
      </w:r>
    </w:p>
    <w:p>
      <w:pPr>
        <w:pStyle w:val="ListNumber"/>
        <w:spacing w:after="40"/>
      </w:pPr>
      <w:r>
        <w:rPr>
          <w:b w:val="0"/>
        </w:rPr>
        <w:t>Doğru yanıt (oracle) için günlükte insanların gerçekte ne yaptığına bakılır. Ama gözlenen davranış her zaman doğru davranış değildir; yanına kural tabanlı bir doğruluk tanımı da gerekir.</w:t>
      </w:r>
    </w:p>
    <w:p>
      <w:pPr>
        <w:pStyle w:val="Heading2"/>
      </w:pPr>
      <w:r>
        <w:t>2.2 Adaylar</w:t>
      </w:r>
    </w:p>
    <w:tbl>
      <w:tblPr>
        <w:tblW w:type="dxa" w:w="9297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1871"/>
        <w:gridCol w:w="2494"/>
        <w:gridCol w:w="4932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r>
              <w:rPr>
                <w:b/>
                <w:color w:val="FFFFFF"/>
              </w:rPr>
              <w:t>Veri</w:t>
            </w:r>
          </w:p>
        </w:tc>
        <w:tc>
          <w:tcPr>
            <w:tcW w:type="dxa" w:w="2494"/>
            <w:shd w:val="clear" w:color="auto" w:fill="1F3A5F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32"/>
            <w:shd w:val="clear" w:color="auto" w:fill="1F3A5F"/>
          </w:tcPr>
          <w:p>
            <w:r>
              <w:rPr>
                <w:b/>
                <w:color w:val="FFFFFF"/>
              </w:rPr>
              <w:t>Bizim çalışma için değeri</w:t>
            </w:r>
          </w:p>
        </w:tc>
      </w:tr>
      <w:tr>
        <w:tc>
          <w:tcPr>
            <w:tcW w:type="dxa" w:w="1871"/>
            <w:shd w:val="clear" w:color="auto" w:fill="EAF3EC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BPIC 2019</w:t>
            </w:r>
          </w:p>
        </w:tc>
        <w:tc>
          <w:tcPr>
            <w:tcW w:type="dxa" w:w="2494"/>
            <w:shd w:val="clear" w:color="auto" w:fill="EAF3EC"/>
          </w:tcPr>
          <w:p>
            <w:pPr>
              <w:spacing w:after="0"/>
            </w:pPr>
            <w:r>
              <w:rPr>
                <w:b w:val="0"/>
                <w:sz w:val="20"/>
              </w:rPr>
              <w:t>Satın alma süreci (P2P), çok uluslu şirket</w:t>
            </w:r>
          </w:p>
        </w:tc>
        <w:tc>
          <w:tcPr>
            <w:tcW w:type="dxa" w:w="4932"/>
            <w:shd w:val="clear" w:color="auto" w:fill="EAF3EC"/>
          </w:tcPr>
          <w:p>
            <w:pPr>
              <w:spacing w:after="0"/>
            </w:pPr>
            <w:r>
              <w:rPr>
                <w:b w:val="0"/>
                <w:sz w:val="20"/>
              </w:rPr>
              <w:t xml:space="preserve">Siparişler eşleştirme türüne göre ayrılmış (3-way match, 2-way match, konsinye). Bunlar hazır uyum kuralları. Manifestodaki tedarik örneğine de yakın. </w:t>
            </w:r>
            <w:r>
              <w:rPr>
                <w:b/>
                <w:sz w:val="20"/>
              </w:rPr>
              <w:t>Ana aday.</w:t>
            </w:r>
          </w:p>
        </w:tc>
      </w:tr>
      <w:tr>
        <w:tc>
          <w:tcPr>
            <w:tcW w:type="dxa" w:w="1871"/>
            <w:shd w:val="clear" w:color="auto" w:fill="EAF3EC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BPIC 2017 (ve 2012)</w:t>
            </w:r>
          </w:p>
        </w:tc>
        <w:tc>
          <w:tcPr>
            <w:tcW w:type="dxa" w:w="2494"/>
            <w:shd w:val="clear" w:color="auto" w:fill="EAF3EC"/>
          </w:tcPr>
          <w:p>
            <w:pPr>
              <w:spacing w:after="0"/>
            </w:pPr>
            <w:r>
              <w:rPr>
                <w:b w:val="0"/>
                <w:sz w:val="20"/>
              </w:rPr>
              <w:t>Kredi başvurusu, Hollanda bankası</w:t>
            </w:r>
          </w:p>
        </w:tc>
        <w:tc>
          <w:tcPr>
            <w:tcW w:type="dxa" w:w="4932"/>
            <w:shd w:val="clear" w:color="auto" w:fill="EAF3EC"/>
          </w:tcPr>
          <w:p>
            <w:pPr>
              <w:spacing w:after="0"/>
            </w:pPr>
            <w:r>
              <w:rPr>
                <w:b w:val="0"/>
                <w:sz w:val="20"/>
              </w:rPr>
              <w:t xml:space="preserve">İnsan karar noktaları, kaynak (çalışan) bilgisi ve iş yükü var. Simod'un örneklerinde sık kullanılıyor. </w:t>
            </w:r>
            <w:r>
              <w:rPr>
                <w:b/>
                <w:sz w:val="20"/>
              </w:rPr>
              <w:t>İkinci aday.</w:t>
            </w:r>
          </w:p>
        </w:tc>
      </w:tr>
      <w:tr>
        <w:tc>
          <w:tcPr>
            <w:tcW w:type="dxa" w:w="1871"/>
            <w:shd w:val="clear" w:color="auto" w:fill="F5F7FA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BPIC 2020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TU/e seyahat izni ve masraf onayı</w:t>
            </w:r>
          </w:p>
        </w:tc>
        <w:tc>
          <w:tcPr>
            <w:tcW w:type="dxa" w:w="4932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Çok aşamalı onay ve red adımları; insan onayı ve yükseltme davranışını ölçmek için uygun.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BPIC 2018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20"/>
              </w:rPr>
              <w:t>AB tarım destekleri (yıllara göre)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20"/>
              </w:rPr>
              <w:t>Yıllar arasında kural ve süreç değişiyor; taktik değişiklik senaryosu için gerçek veri.</w:t>
            </w:r>
          </w:p>
        </w:tc>
      </w:tr>
      <w:tr>
        <w:tc>
          <w:tcPr>
            <w:tcW w:type="dxa" w:w="1871"/>
            <w:shd w:val="clear" w:color="auto" w:fill="F5F7FA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BPIC 2015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5 belediyede yapı ruhsatı</w:t>
            </w:r>
          </w:p>
        </w:tc>
        <w:tc>
          <w:tcPr>
            <w:tcW w:type="dxa" w:w="4932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Aynı sürecin farklı varyantları.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BPIC 2013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20"/>
              </w:rPr>
              <w:t>Volvo IT olay yönetimi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20"/>
              </w:rPr>
              <w:t>Destek hatları arasında gerçek yükseltme (escalation) kayıtları.</w:t>
            </w:r>
          </w:p>
        </w:tc>
      </w:tr>
      <w:tr>
        <w:tc>
          <w:tcPr>
            <w:tcW w:type="dxa" w:w="1871"/>
            <w:shd w:val="clear" w:color="auto" w:fill="F5F7FA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Road Traffic Fine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İtalyan trafik cezaları</w:t>
            </w:r>
          </w:p>
        </w:tc>
        <w:tc>
          <w:tcPr>
            <w:tcW w:type="dxa" w:w="4932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Süreler, ödeme ve itirazlar; SLA benzeri gecikmeler.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OCEL 2.0 örnekleri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20"/>
              </w:rPr>
              <w:t>Sipariş yönetimi, P2P (simüle edilmiş)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20"/>
              </w:rPr>
              <w:t>Nesne merkezli günlükler. Demodaki order-to-cash'e en kolay uyan set; sitedeki set listesi doğrulanmadı.</w:t>
            </w:r>
          </w:p>
        </w:tc>
      </w:tr>
      <w:tr>
        <w:tc>
          <w:tcPr>
            <w:tcW w:type="dxa" w:w="1871"/>
            <w:shd w:val="clear" w:color="auto" w:fill="F5F7FA"/>
          </w:tcPr>
          <w:p>
            <w:pPr>
              <w:spacing w:after="0"/>
            </w:pPr>
            <w:r>
              <w:rPr>
                <w:b/>
                <w:color w:val="1F3A5F"/>
                <w:sz w:val="20"/>
              </w:rPr>
              <w:t>SAP-SAM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Büyük bir BPMN model koleksiyonu</w:t>
            </w:r>
          </w:p>
        </w:tc>
        <w:tc>
          <w:tcPr>
            <w:tcW w:type="dxa" w:w="4932"/>
            <w:shd w:val="clear" w:color="auto" w:fill="F5F7FA"/>
          </w:tcPr>
          <w:p>
            <w:pPr>
              <w:spacing w:after="0"/>
            </w:pPr>
            <w:r>
              <w:rPr>
                <w:b w:val="0"/>
                <w:sz w:val="20"/>
              </w:rPr>
              <w:t>Günlük değil, model kaynağı; süreç çeşitliliği için.</w:t>
            </w:r>
          </w:p>
        </w:tc>
      </w:tr>
    </w:tbl>
    <w:p>
      <w:pPr>
        <w:spacing w:after="40"/>
      </w:pPr>
    </w:p>
    <w:p>
      <w:pPr>
        <w:pStyle w:val="Heading2"/>
      </w:pPr>
      <w:r>
        <w:t>2.3 Öneri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İlk veri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/>
              </w:rPr>
              <w:t>BPIC 2019.</w:t>
            </w:r>
            <w:r>
              <w:rPr>
                <w:b w:val="0"/>
              </w:rPr>
              <w:t xml:space="preserve"> Uyum kuralları hazır, tedarik senaryosu Mirela'nın BPM odağına ve provenance hikâyesine oturuyor.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Genellenebilirlik için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BPIC 2017.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Taktik değişiklik için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BPIC 2018'in yıl geçişleri.</w:t>
            </w:r>
          </w:p>
        </w:tc>
      </w:tr>
    </w:tbl>
    <w:p>
      <w:pPr>
        <w:spacing w:after="40"/>
      </w:pPr>
    </w:p>
    <w:p>
      <w:pPr>
        <w:pStyle w:val="Heading2"/>
      </w:pPr>
      <w:r>
        <w:t>2.4 Demolarda gerekecek iki değişiklik</w:t>
      </w:r>
    </w:p>
    <w:p>
      <w:pPr>
        <w:pStyle w:val="ListNumber"/>
        <w:spacing w:after="40"/>
      </w:pPr>
      <w:r>
        <w:rPr>
          <w:b w:val="0"/>
        </w:rPr>
        <w:t xml:space="preserve">Süreç ekranı şu an sabit bir order-to-cash modeli çiziyor. Bunun yerine </w:t>
      </w:r>
      <w:r>
        <w:rPr>
          <w:b/>
        </w:rPr>
        <w:t>bpmn-js</w:t>
      </w:r>
      <w:r>
        <w:rPr>
          <w:b w:val="0"/>
        </w:rPr>
        <w:t xml:space="preserve"> ile herhangi bir BPMN modelini gösterebilmeli.</w:t>
      </w:r>
    </w:p>
    <w:p>
      <w:pPr>
        <w:pStyle w:val="ListNumber"/>
        <w:spacing w:after="40"/>
      </w:pPr>
      <w:r>
        <w:rPr>
          <w:b w:val="0"/>
        </w:rPr>
        <w:t>Simülatör, Simod'un çıkardığı modeli (BPMN + JSON parametre dosyası) okuyabilmeli.</w:t>
      </w:r>
    </w:p>
    <w:p>
      <w:r>
        <w:br w:type="page"/>
      </w:r>
    </w:p>
    <w:p>
      <w:pPr>
        <w:pStyle w:val="Heading1"/>
      </w:pPr>
      <w:r>
        <w:t>3. İş Paketi 2: LLM ajanı ve provenance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2E6F8E"/>
          <w:left w:val="single" w:sz="4" w:color="2E6F8E"/>
          <w:bottom w:val="single" w:sz="4" w:color="2E6F8E"/>
          <w:right w:val="single" w:sz="4" w:color="2E6F8E"/>
          <w:insideH w:val="single" w:sz="4" w:color="2E6F8E"/>
          <w:insideV w:val="single" w:sz="4" w:color="2E6F8E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</w:tblPr>
      <w:tblGrid>
        <w:gridCol w:w="9298"/>
      </w:tblGrid>
      <w:tr>
        <w:tc>
          <w:tcPr>
            <w:tcW w:type="dxa" w:w="9298"/>
            <w:shd w:val="clear" w:color="auto" w:fill="EAF1F7"/>
          </w:tcPr>
          <w:p>
            <w:r>
              <w:rPr>
                <w:b/>
                <w:color w:val="1F3A5F"/>
              </w:rPr>
              <w:t>Ön koşul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1.  Öğrencinin ilk iş paketini (Camunda düzeneği + kural tabanlı L0) kabul ölçütleriyle bitirmiş olması gerekiyor.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2.  Bu paket aynı düzeneğin üzerine kurulur; ilk paketten hiçbir parça değişmez, yalnız uyarlama arayüzüne yeni işleyiciler takılır.</w:t>
            </w:r>
          </w:p>
        </w:tc>
      </w:tr>
    </w:tbl>
    <w:p>
      <w:pPr>
        <w:spacing w:after="40"/>
      </w:pPr>
    </w:p>
    <w:p>
      <w:pPr>
        <w:pStyle w:val="Heading2"/>
      </w:pPr>
      <w:r>
        <w:t>3.1 LLM ajanı (uyarlama işleyicisi)</w:t>
      </w:r>
    </w:p>
    <w:p>
      <w:pPr>
        <w:pStyle w:val="ListBullet"/>
        <w:spacing w:after="40"/>
      </w:pPr>
      <w:r>
        <w:rPr>
          <w:b w:val="0"/>
        </w:rPr>
        <w:t>Ajan ilk paketteki uyarlama arayüzüne takılır: aynı isteği alır, aynı biçimde yanıt verir. Yanıta şunlar eklenir:</w:t>
      </w:r>
    </w:p>
    <w:p>
      <w:pPr>
        <w:pStyle w:val="ListBullet2"/>
        <w:spacing w:after="40"/>
      </w:pPr>
      <w:r>
        <w:rPr>
          <w:b w:val="0"/>
        </w:rPr>
        <w:t>gerekçe</w:t>
      </w:r>
    </w:p>
    <w:p>
      <w:pPr>
        <w:pStyle w:val="ListBullet2"/>
        <w:spacing w:after="40"/>
      </w:pPr>
      <w:r>
        <w:rPr>
          <w:b w:val="0"/>
        </w:rPr>
        <w:t>kullandığı girdiler: vaka verisi, zaman damgalı veri kaynağı, kural kimliği</w:t>
      </w:r>
    </w:p>
    <w:p>
      <w:pPr>
        <w:pStyle w:val="ListBullet2"/>
        <w:spacing w:after="40"/>
      </w:pPr>
      <w:r>
        <w:rPr>
          <w:b w:val="0"/>
        </w:rPr>
        <w:t>öz-güven</w:t>
      </w:r>
    </w:p>
    <w:p>
      <w:r>
        <w:rPr>
          <w:b/>
        </w:rPr>
        <w:t>Ajanın araçları</w:t>
      </w:r>
      <w:r>
        <w:rPr>
          <w:b w:val="0"/>
        </w:rPr>
        <w:t xml:space="preserve"> (hangilerinin açık olduğu otonomi düzeyine bağlıdır):</w:t>
      </w:r>
    </w:p>
    <w:p>
      <w:pPr>
        <w:pStyle w:val="ListBullet"/>
        <w:spacing w:after="40"/>
      </w:pPr>
      <w:r>
        <w:rPr>
          <w:b w:val="0"/>
        </w:rPr>
        <w:t>yeniden deneme</w:t>
      </w:r>
    </w:p>
    <w:p>
      <w:pPr>
        <w:pStyle w:val="ListBullet"/>
        <w:spacing w:after="40"/>
      </w:pPr>
      <w:r>
        <w:rPr>
          <w:b w:val="0"/>
        </w:rPr>
        <w:t>yedek servis</w:t>
      </w:r>
    </w:p>
    <w:p>
      <w:pPr>
        <w:pStyle w:val="ListBullet"/>
        <w:spacing w:after="40"/>
      </w:pPr>
      <w:r>
        <w:rPr>
          <w:b w:val="0"/>
        </w:rPr>
        <w:t>değişken atama</w:t>
      </w:r>
    </w:p>
    <w:p>
      <w:pPr>
        <w:pStyle w:val="ListBullet"/>
        <w:spacing w:after="40"/>
      </w:pPr>
      <w:r>
        <w:rPr>
          <w:b w:val="0"/>
        </w:rPr>
        <w:t>görevi başkasına atama</w:t>
      </w:r>
    </w:p>
    <w:p>
      <w:pPr>
        <w:pStyle w:val="ListBullet"/>
        <w:spacing w:after="40"/>
      </w:pPr>
      <w:r>
        <w:rPr>
          <w:b w:val="0"/>
        </w:rPr>
        <w:t>süreç örneğini değiştirme ya da yeni sürüme taşıma</w:t>
      </w:r>
    </w:p>
    <w:p>
      <w:pPr>
        <w:pStyle w:val="ListBullet"/>
        <w:spacing w:after="40"/>
      </w:pPr>
      <w:r>
        <w:rPr>
          <w:b w:val="0"/>
        </w:rPr>
        <w:t>yeni süreç sürümü yükleme (yalnız L3'te)</w:t>
      </w:r>
    </w:p>
    <w:p>
      <w:pPr>
        <w:pStyle w:val="ListBullet"/>
        <w:spacing w:after="40"/>
      </w:pPr>
      <w:r>
        <w:rPr>
          <w:b w:val="0"/>
        </w:rPr>
        <w:t>insana yükseltme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Model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Güncel bir Claude modeli (ör. claude-sonnet-5-5). Karşılaştırma için ikinci bir model: daha küçük ya da açık kaynak.</w:t>
            </w:r>
          </w:p>
          <w:p>
            <w:pPr>
              <w:spacing w:after="40"/>
            </w:pPr>
            <w:r>
              <w:rPr>
                <w:b w:val="0"/>
              </w:rPr>
              <w:t>Koşu ortasında model değiştirme seçeneği olmalı.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Ajan kimliği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Model kimliği + prompt özeti (hash) + araç seti özeti. Her çağrıda kaydedilir.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Mimari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Tek ReAct ajanı ya da Frame + Operational (Skolik 2026 tarzı); yapılandırılabilir.</w:t>
            </w:r>
          </w:p>
        </w:tc>
      </w:tr>
    </w:tbl>
    <w:p>
      <w:pPr>
        <w:spacing w:after="40"/>
      </w:pPr>
    </w:p>
    <w:p>
      <w:pPr>
        <w:pStyle w:val="Heading2"/>
      </w:pPr>
      <w:r>
        <w:t>3.2 Otonomi düzeyleri ve insan onayı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1361"/>
        <w:gridCol w:w="7937"/>
      </w:tblGrid>
      <w:tr>
        <w:tc>
          <w:tcPr>
            <w:tcW w:type="dxa" w:w="1361"/>
            <w:shd w:val="clear" w:color="auto" w:fill="1F3A5F"/>
          </w:tcPr>
          <w:p>
            <w:r>
              <w:rPr>
                <w:b/>
                <w:color w:val="FFFFFF"/>
              </w:rPr>
              <w:t>Düzey</w:t>
            </w:r>
          </w:p>
        </w:tc>
        <w:tc>
          <w:tcPr>
            <w:tcW w:type="dxa" w:w="7937"/>
            <w:shd w:val="clear" w:color="auto" w:fill="1F3A5F"/>
          </w:tcPr>
          <w:p>
            <w:r>
              <w:rPr>
                <w:b/>
                <w:color w:val="FFFFFF"/>
              </w:rPr>
              <w:t>Tanım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1F3A5F"/>
              </w:rPr>
              <w:t>L0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t>kurallar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1F3A5F"/>
              </w:rPr>
              <w:t>L1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t>ajan önerir, insan onaylar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1F3A5F"/>
              </w:rPr>
              <w:t>L2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t>ajan çerçeve içinde uygular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1F3A5F"/>
              </w:rPr>
              <w:t>L3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t>ajan süreç modelini de değiştirir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İnsan onayı Camunda'da bir insan görevi (user task, Tasklist) olarak açılır. </w:t>
      </w:r>
      <w:r>
        <w:rPr>
          <w:b/>
        </w:rPr>
        <w:t>Demo kipinde</w:t>
      </w:r>
      <w:r>
        <w:rPr>
          <w:b w:val="0"/>
        </w:rPr>
        <w:t xml:space="preserve"> insan ekrandan onaylar. </w:t>
      </w:r>
      <w:r>
        <w:rPr>
          <w:b/>
        </w:rPr>
        <w:t>Toplu deney kipinde</w:t>
      </w:r>
      <w:r>
        <w:rPr>
          <w:b w:val="0"/>
        </w:rPr>
        <w:t xml:space="preserve"> doğruluğu ve gecikmesi parametreli, seed'li bir simüle insan kullanılır.</w:t>
      </w:r>
    </w:p>
    <w:p>
      <w:pPr>
        <w:pStyle w:val="Heading2"/>
      </w:pPr>
      <w:r>
        <w:t>3.3 Yönetişim kapısı</w:t>
      </w:r>
    </w:p>
    <w:p>
      <w:r>
        <w:rPr>
          <w:b w:val="0"/>
        </w:rPr>
        <w:t>Ajanın önerisi uygulanmadan önce sırayla: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a) Çerçeve kontrolü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Öneri bildirimsel kısıtlara (Declare/LTL) ya da izinli eylem listesine aykırı mı?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b) Gerekçe bütünlüğü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Öneri izinli bir kurala ve güncel bir veri kaynağına bağlanabiliyor mu? Veri bayatsa ya da kaynağı belirsizse karar insana gider.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c) Sicil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Bu ajan kimliğinin bu uyarlama türündeki Beta güven alt sınırı, işin etkisine göre belirlenen eşiğin üstünde mi? En az örnek sayısına ulaşılmış mı?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Kapı üç karardan birini verir: </w:t>
      </w:r>
      <w:r>
        <w:rPr>
          <w:b/>
        </w:rPr>
        <w:t>uygula</w:t>
      </w:r>
      <w:r>
        <w:rPr>
          <w:b w:val="0"/>
        </w:rPr>
        <w:t xml:space="preserve">, </w:t>
      </w:r>
      <w:r>
        <w:rPr>
          <w:b/>
        </w:rPr>
        <w:t>insana sor</w:t>
      </w:r>
      <w:r>
        <w:rPr>
          <w:b w:val="0"/>
        </w:rPr>
        <w:t xml:space="preserve">, </w:t>
      </w:r>
      <w:r>
        <w:rPr>
          <w:b/>
        </w:rPr>
        <w:t>reddet</w:t>
      </w:r>
      <w:r>
        <w:rPr>
          <w:b w:val="0"/>
        </w:rPr>
        <w:t>. Kararın kendisi ve gerekçesi de kaydedilir.</w:t>
      </w:r>
    </w:p>
    <w:p>
      <w:pPr>
        <w:pStyle w:val="Heading2"/>
      </w:pPr>
      <w:r>
        <w:t>3.4 Provenance kaydı</w:t>
      </w:r>
    </w:p>
    <w:p>
      <w:r>
        <w:rPr>
          <w:b w:val="0"/>
        </w:rPr>
        <w:t xml:space="preserve">Model </w:t>
      </w:r>
      <w:r>
        <w:rPr>
          <w:b/>
        </w:rPr>
        <w:t>W3C PROV-DM</w:t>
      </w:r>
      <w:r>
        <w:rPr>
          <w:b w:val="0"/>
        </w:rPr>
        <w:t>. Python prov paketi kullanılır; çıktı PROV-JSON, isteğe bağlı PROV-O/RDF.</w:t>
      </w:r>
    </w:p>
    <w:p>
      <w:r>
        <w:rPr>
          <w:b w:val="0"/>
        </w:rPr>
        <w:t>Her uyarlama için kaydedilenler: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Ajanlar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ajan kimliği, kapı, insan onaylayıcı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Etkinlikler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öneri, kapı kararı, uygulama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Varlıklar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vaka durumunun anlık görüntüsü, zaman damgalı veri kaynağı, kural, öneri, uygulanan değişiklik, sonuç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İlişkiler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used · wasGeneratedBy · wasAssociatedWith · wasInformedBy</w:t>
            </w:r>
          </w:p>
          <w:p>
            <w:pPr>
              <w:spacing w:after="40"/>
            </w:pPr>
            <w:r>
              <w:rPr>
                <w:b w:val="0"/>
              </w:rPr>
              <w:t>wasDerivedFrom (sonuç → öneri)</w:t>
            </w:r>
          </w:p>
          <w:p>
            <w:pPr>
              <w:spacing w:after="40"/>
            </w:pPr>
            <w:r>
              <w:rPr>
                <w:b w:val="0"/>
              </w:rPr>
              <w:t>wasRevisionOf (L3'te süreç modeli sürümleri arasında)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Depo:</w:t>
      </w:r>
      <w:r>
        <w:rPr>
          <w:b w:val="0"/>
        </w:rPr>
        <w:t xml:space="preserve"> Önce dosya (PROV-JSON). Sorgu ihtiyacı büyürse Neo4j (Cypher) ya da bir RDF deposu (SPARQL).</w:t>
      </w:r>
    </w:p>
    <w:p>
      <w:pPr>
        <w:pStyle w:val="ListBullet"/>
        <w:spacing w:after="40"/>
      </w:pPr>
      <w:r>
        <w:rPr>
          <w:b/>
        </w:rPr>
        <w:t>Olay günlüğü bağlantısı:</w:t>
      </w:r>
      <w:r>
        <w:rPr>
          <w:b w:val="0"/>
        </w:rPr>
        <w:t xml:space="preserve"> İlk paketteki olay günlüğü bu kaydın temeli. Her olay, ilgili uyarlama kaydına kimlikle bağlanır.</w:t>
      </w:r>
    </w:p>
    <w:p>
      <w:pPr>
        <w:pStyle w:val="Heading2"/>
      </w:pPr>
      <w:r>
        <w:t>3.5 Sonuç bağlama</w:t>
      </w:r>
    </w:p>
    <w:p>
      <w:pPr>
        <w:pStyle w:val="ListBullet"/>
        <w:spacing w:after="40"/>
      </w:pPr>
      <w:r>
        <w:rPr>
          <w:b/>
        </w:rPr>
        <w:t>Anında sonuçlar:</w:t>
      </w:r>
      <w:r>
        <w:rPr>
          <w:b w:val="0"/>
        </w:rPr>
        <w:t xml:space="preserve"> araç hatası, insanın onayı ya da reddi.</w:t>
      </w:r>
    </w:p>
    <w:p>
      <w:pPr>
        <w:pStyle w:val="ListBullet"/>
        <w:spacing w:after="40"/>
      </w:pPr>
      <w:r>
        <w:rPr>
          <w:b/>
        </w:rPr>
        <w:t>Gecikmeli sonuçlar (vaka bitince):</w:t>
      </w:r>
      <w:r>
        <w:rPr>
          <w:b w:val="0"/>
        </w:rPr>
        <w:t xml:space="preserve"> PM4Py ile uyum kontrolü, SLA ihlali, geri alma, doğru yanıtla (oracle) karşılaştırma.</w:t>
      </w:r>
    </w:p>
    <w:p>
      <w:pPr>
        <w:pStyle w:val="ListBullet"/>
        <w:spacing w:after="40"/>
      </w:pPr>
      <w:r>
        <w:rPr>
          <w:b/>
        </w:rPr>
        <w:t>Kural:</w:t>
      </w:r>
      <w:r>
        <w:rPr>
          <w:b w:val="0"/>
        </w:rPr>
        <w:t xml:space="preserve"> Her sonuç provenance üzerinden onu doğuran karara bağlanır. Sicil yalnız bu bağlantı üzerinden güncellenir.</w:t>
      </w:r>
    </w:p>
    <w:p>
      <w:pPr>
        <w:pStyle w:val="Heading2"/>
      </w:pPr>
      <w:r>
        <w:t>3.6 Güven (sicil) modeli</w:t>
      </w:r>
    </w:p>
    <w:p>
      <w:pPr>
        <w:pStyle w:val="ListBullet"/>
        <w:spacing w:after="40"/>
      </w:pPr>
      <w:r>
        <w:rPr>
          <w:b w:val="0"/>
        </w:rPr>
        <w:t>Sicil "ajan kimliği × uyarlama türü" bazında tutulur. Model, prompt ya da araç seti değişince yeni bir kimlik doğar ve sicil sıfırdan başlar.</w:t>
      </w:r>
    </w:p>
    <w:p>
      <w:pPr>
        <w:pStyle w:val="ListBullet"/>
        <w:spacing w:after="40"/>
      </w:pPr>
      <w:r>
        <w:rPr>
          <w:b w:val="0"/>
        </w:rPr>
        <w:t>Varsayılan model Beta-Bernoulli. Alternatif olarak başarı oranı ya da EWMA seçilebilir.</w:t>
      </w:r>
    </w:p>
    <w:p>
      <w:pPr>
        <w:pStyle w:val="ListBullet"/>
        <w:spacing w:after="40"/>
      </w:pPr>
      <w:r>
        <w:rPr>
          <w:b w:val="0"/>
        </w:rPr>
        <w:t>Eşikler işin etkisine göre ayrılır: düşük / orta / yüksek.</w:t>
      </w:r>
    </w:p>
    <w:p>
      <w:pPr>
        <w:pStyle w:val="ListBullet"/>
        <w:spacing w:after="40"/>
      </w:pPr>
      <w:r>
        <w:rPr>
          <w:b/>
        </w:rPr>
        <w:t>Hızlı indirme:</w:t>
      </w:r>
      <w:r>
        <w:rPr>
          <w:b w:val="0"/>
        </w:rPr>
        <w:t xml:space="preserve"> Sonucu bağlanan bir ihlalden sonra o bağlamdaki sonraki N istek insana gider.</w:t>
      </w:r>
    </w:p>
    <w:p>
      <w:pPr>
        <w:pStyle w:val="ListBullet"/>
        <w:spacing w:after="40"/>
      </w:pPr>
      <w:r>
        <w:rPr>
          <w:b w:val="0"/>
        </w:rPr>
        <w:t xml:space="preserve">Eşikler deneyden önce sabitlenir ya da ayrı bir ayar koşusunda seçilir. </w:t>
      </w:r>
      <w:r>
        <w:rPr>
          <w:b/>
        </w:rPr>
        <w:t>Test koşusunda değiştirilmez.</w:t>
      </w:r>
    </w:p>
    <w:p>
      <w:pPr>
        <w:pStyle w:val="Heading2"/>
      </w:pPr>
      <w:r>
        <w:t>3.7 Karşılaştırılacak yöntemler</w:t>
      </w:r>
    </w:p>
    <w:p>
      <w:r>
        <w:rPr>
          <w:b w:val="0"/>
        </w:rPr>
        <w:t>Hepsi aynı senaryo ve aynı seed'le koşturulur.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ayout w:type="fixed"/>
      </w:tblPr>
      <w:tblGrid>
        <w:gridCol w:w="2381"/>
        <w:gridCol w:w="6917"/>
      </w:tblGrid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Provenance'sız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• sabit L1</w:t>
            </w:r>
          </w:p>
          <w:p>
            <w:pPr>
              <w:spacing w:after="40"/>
            </w:pPr>
            <w:r>
              <w:rPr>
                <w:b w:val="0"/>
              </w:rPr>
              <w:t>• sabit L2</w:t>
            </w:r>
          </w:p>
          <w:p>
            <w:pPr>
              <w:spacing w:after="40"/>
            </w:pPr>
            <w:r>
              <w:rPr>
                <w:b w:val="0"/>
              </w:rPr>
              <w:t>• sabit L3</w:t>
            </w:r>
          </w:p>
          <w:p>
            <w:pPr>
              <w:spacing w:after="40"/>
            </w:pPr>
            <w:r>
              <w:rPr>
                <w:b w:val="0"/>
              </w:rPr>
              <w:t>• statik risk politikası</w:t>
            </w:r>
          </w:p>
          <w:p>
            <w:pPr>
              <w:spacing w:after="40"/>
            </w:pPr>
            <w:r>
              <w:rPr>
                <w:b w:val="0"/>
              </w:rPr>
              <w:t>• LLM öz-güven eşiği</w:t>
            </w:r>
          </w:p>
          <w:p>
            <w:pPr>
              <w:spacing w:after="40"/>
            </w:pPr>
            <w:r>
              <w:rPr>
                <w:b w:val="0"/>
              </w:rPr>
              <w:t>• global başarı sayacı (bağlamsız; yalnız anında sonuçları ve insan kararlarını görür)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Provenance'lı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provenance kapılı yöntem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Ablasyonlar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• gerekçe kontrolü yok</w:t>
            </w:r>
          </w:p>
          <w:p>
            <w:pPr>
              <w:spacing w:after="40"/>
            </w:pPr>
            <w:r>
              <w:rPr>
                <w:b w:val="0"/>
              </w:rPr>
              <w:t>• kimlik sıfırlama yok</w:t>
            </w:r>
          </w:p>
          <w:p>
            <w:pPr>
              <w:spacing w:after="40"/>
            </w:pPr>
            <w:r>
              <w:rPr>
                <w:b w:val="0"/>
              </w:rPr>
              <w:t>• gecikmeli sonuç bağlama yok</w:t>
            </w:r>
          </w:p>
        </w:tc>
      </w:tr>
      <w:tr>
        <w:tc>
          <w:tcPr>
            <w:tcW w:type="dxa" w:w="2381"/>
            <w:shd w:val="clear" w:color="auto" w:fill="E8EEF4"/>
          </w:tcPr>
          <w:p>
            <w:pPr>
              <w:spacing w:after="40"/>
            </w:pPr>
            <w:r>
              <w:rPr>
                <w:b/>
                <w:color w:val="1F3A5F"/>
              </w:rPr>
              <w:t>Referans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 w:val="0"/>
              </w:rPr>
              <w:t>ilk paketin "Full L0 rule set" sonucu</w:t>
            </w:r>
          </w:p>
        </w:tc>
      </w:tr>
    </w:tbl>
    <w:p>
      <w:pPr>
        <w:spacing w:after="40"/>
      </w:pPr>
    </w:p>
    <w:p>
      <w:pPr>
        <w:pStyle w:val="Heading2"/>
      </w:pPr>
      <w:r>
        <w:t>3.8 Metrikler</w:t>
      </w:r>
    </w:p>
    <w:p>
      <w:pPr>
        <w:pStyle w:val="ListBullet"/>
        <w:spacing w:after="40"/>
      </w:pPr>
      <w:r>
        <w:rPr>
          <w:b w:val="0"/>
        </w:rPr>
        <w:t>Doğru uyarlama oranı (oracle'a göre)</w:t>
      </w:r>
    </w:p>
    <w:p>
      <w:pPr>
        <w:pStyle w:val="ListBullet"/>
        <w:spacing w:after="40"/>
      </w:pPr>
      <w:r>
        <w:rPr>
          <w:b w:val="0"/>
        </w:rPr>
        <w:t>Etkiye göre ağırlıklı zarar</w:t>
      </w:r>
    </w:p>
    <w:p>
      <w:pPr>
        <w:pStyle w:val="ListBullet"/>
        <w:spacing w:after="40"/>
      </w:pPr>
      <w:r>
        <w:rPr>
          <w:b w:val="0"/>
        </w:rPr>
        <w:t>Uyum ihlali, SLA ihlali, takılan vaka</w:t>
      </w:r>
    </w:p>
    <w:p>
      <w:pPr>
        <w:pStyle w:val="ListBullet"/>
        <w:spacing w:after="40"/>
      </w:pPr>
      <w:r>
        <w:rPr>
          <w:b w:val="0"/>
        </w:rPr>
        <w:t>İnsan onay yükü ve ortalama gecikme</w:t>
      </w:r>
    </w:p>
    <w:p>
      <w:pPr>
        <w:pStyle w:val="ListBullet"/>
        <w:spacing w:after="40"/>
      </w:pPr>
      <w:r>
        <w:rPr>
          <w:b w:val="0"/>
        </w:rPr>
        <w:t>LLM maliyeti (token, süre)</w:t>
      </w:r>
    </w:p>
    <w:p>
      <w:pPr>
        <w:pStyle w:val="ListBullet"/>
        <w:spacing w:after="40"/>
      </w:pPr>
      <w:r>
        <w:rPr>
          <w:b w:val="0"/>
        </w:rPr>
        <w:t>Koşular arası varyans</w:t>
      </w:r>
    </w:p>
    <w:p>
      <w:pPr>
        <w:pStyle w:val="ListBullet"/>
        <w:spacing w:after="40"/>
      </w:pPr>
      <w:r>
        <w:rPr>
          <w:b w:val="0"/>
        </w:rPr>
        <w:t>Provenance metrikleri:</w:t>
      </w:r>
    </w:p>
    <w:p>
      <w:pPr>
        <w:pStyle w:val="ListBullet2"/>
        <w:spacing w:after="40"/>
      </w:pPr>
      <w:r>
        <w:rPr>
          <w:b w:val="0"/>
        </w:rPr>
        <w:t>kayıt bütünlüğü: her uyarlamanın tam zinciri var mı</w:t>
      </w:r>
    </w:p>
    <w:p>
      <w:pPr>
        <w:pStyle w:val="ListBullet2"/>
        <w:spacing w:after="40"/>
      </w:pPr>
      <w:r>
        <w:rPr>
          <w:b w:val="0"/>
        </w:rPr>
        <w:t>hatalı uyarlamalarda kök nedeni bulma doğruluğu</w:t>
      </w:r>
    </w:p>
    <w:p>
      <w:pPr>
        <w:pStyle w:val="ListBullet2"/>
        <w:spacing w:after="40"/>
      </w:pPr>
      <w:r>
        <w:rPr>
          <w:b w:val="0"/>
        </w:rPr>
        <w:t>geri alma isabeti</w:t>
      </w:r>
    </w:p>
    <w:p>
      <w:pPr>
        <w:pStyle w:val="Heading2"/>
      </w:pPr>
      <w:r>
        <w:t>3.9 Tekrarlanabilirlik</w:t>
      </w:r>
    </w:p>
    <w:p>
      <w:pPr>
        <w:pStyle w:val="ListBullet"/>
        <w:spacing w:after="40"/>
      </w:pPr>
      <w:r>
        <w:rPr>
          <w:b w:val="0"/>
        </w:rPr>
        <w:t>İlk paketteki koşu kaydına eklenenler: ajan kimliği, model sürümü, sıcaklık, prompt özeti, politika ve eşikler.</w:t>
      </w:r>
    </w:p>
    <w:p>
      <w:pPr>
        <w:pStyle w:val="ListBullet"/>
        <w:spacing w:after="40"/>
      </w:pPr>
      <w:r>
        <w:rPr>
          <w:b w:val="0"/>
        </w:rPr>
        <w:t>LLM yanıtları önbelleğe yazılır (istek özeti → yanıt). Aynı koşu LLM'i yeniden çağırmadan tekrar oynatılabilir (</w:t>
      </w:r>
      <w:r>
        <w:rPr>
          <w:b/>
        </w:rPr>
        <w:t>replay kipi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>API anahtarı yalnız .env dosyasından okunur ve hiçbir günlüğe yazılmaz. Dış servise yalnız sentetik ya da açık veri gönderilir.</w:t>
      </w:r>
    </w:p>
    <w:p>
      <w:pPr>
        <w:pStyle w:val="Heading2"/>
      </w:pPr>
      <w:r>
        <w:t>3.10 İkinci teslimin kabul ölçütü</w:t>
      </w:r>
    </w:p>
    <w:tbl>
      <w:tblPr>
        <w:tblW w:type="dxa" w:w="9298"/>
        <w:jc w:val="center"/>
        <w:tblLook w:firstColumn="1" w:firstRow="1" w:lastColumn="0" w:lastRow="0" w:noHBand="0" w:noVBand="1" w:val="04A0"/>
        <w:tblBorders>
          <w:top w:val="single" w:sz="4" w:color="E0A030"/>
          <w:left w:val="single" w:sz="4" w:color="E0A030"/>
          <w:bottom w:val="single" w:sz="4" w:color="E0A030"/>
          <w:right w:val="single" w:sz="4" w:color="E0A030"/>
          <w:insideH w:val="single" w:sz="4" w:color="E0A030"/>
          <w:insideV w:val="single" w:sz="4" w:color="E0A030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</w:tblPr>
      <w:tblGrid>
        <w:gridCol w:w="9298"/>
      </w:tblGrid>
      <w:tr>
        <w:tc>
          <w:tcPr>
            <w:tcW w:type="dxa" w:w="9298"/>
            <w:shd w:val="clear" w:color="auto" w:fill="FFF6E0"/>
          </w:tcPr>
          <w:p>
            <w:r>
              <w:rPr>
                <w:b/>
                <w:color w:val="1F3A5F"/>
              </w:rPr>
              <w:t>Kabul ölçütleri — İş Paketi 2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 xml:space="preserve">☐  </w:t>
            </w:r>
            <w:r>
              <w:rPr>
                <w:b/>
              </w:rPr>
              <w:t>run --scenario X --seed N --instances 200 --policy prov-gated --agent &lt;model&gt;</w:t>
            </w:r>
            <w:r>
              <w:rPr>
                <w:b w:val="0"/>
              </w:rPr>
              <w:t xml:space="preserve"> komutu uçtan uca çalışmalı. Çıktılar: XES günlüğü, PROV-JSON kaydı ve metrik raporu.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Her uyarlama isteği için eksiksiz bir zincir olmalı: istek → öneri → kapı → uygulama ya da insan → sonuç. Bu kayıt prov doğrulamasından geçmeli.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"Bu hatalı uyarlama hangi veriden, hangi kuraldan, hangi ajan sürümünden doğdu?" sorusunu yanıtlayan bir sorgu ya da betik çalışmalı.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Koşu ortasında model değiştirildiğinde sicilin yeni kimlikte sıfırdan başladığı gösterilmeli.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Aynı senaryo ve seed'de provenance'sız 6 yöntem, provenance kapılı yöntem ve ablasyonlar koşturulup tek tabloda raporlanmalı.</w:t>
            </w:r>
          </w:p>
          <w:p>
            <w:pPr>
              <w:spacing w:after="60"/>
              <w:ind w:left="283" w:hanging="283"/>
            </w:pPr>
            <w:r>
              <w:rPr>
                <w:b w:val="0"/>
              </w:rPr>
              <w:t>☐  LLM önbelleğiyle yapılan tekrar koşu aynı sonucu vermeli.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7"/>
      </w:rPr>
      <w:t xml:space="preserve">CAiSE 2027 – Agentic BPM · Deney düzeneği yönergeleri   ·   </w:t>
    </w:r>
    <w:r>
      <w:rPr>
        <w:color w:val="555F6B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cs="Calibri" w:eastAsia="Calibri"/>
      <w:b/>
      <w:bCs/>
      <w:color w:val="2E6F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Calibri" w:hAnsi="Calibri" w:cs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