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w:t>
      </w:r>
      <w:r w:rsidR="005D733F">
        <w:rPr>
          <w:rFonts w:ascii="Century Gothic" w:hAnsi="Century Gothic" w:cs="Arial"/>
          <w:b/>
          <w:noProof/>
          <w:color w:val="808080" w:themeColor="background1" w:themeShade="80"/>
          <w:sz w:val="36"/>
          <w:szCs w:val="36"/>
        </w:rPr>
        <w:t>: Expiry system</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rsidTr="005D733F">
        <w:trPr>
          <w:trHeight w:val="289"/>
        </w:trPr>
        <w:tc>
          <w:tcPr>
            <w:tcW w:w="5239"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5D733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Testing automatic expiry system functionality</w:t>
            </w:r>
          </w:p>
        </w:tc>
        <w:tc>
          <w:tcPr>
            <w:tcW w:w="1445" w:type="dxa"/>
            <w:tcBorders>
              <w:top w:val="single" w:sz="4" w:space="0" w:color="BFBFBF"/>
              <w:left w:val="nil"/>
              <w:bottom w:val="single" w:sz="8" w:space="0" w:color="BFBFBF"/>
              <w:right w:val="nil"/>
            </w:tcBorders>
            <w:shd w:val="clear" w:color="000000" w:fill="EAEEF3"/>
            <w:vAlign w:val="center"/>
            <w:hideMark/>
          </w:tcPr>
          <w:p w:rsidR="00705A35" w:rsidRPr="00705A35" w:rsidRDefault="005D733F"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w:t>
            </w: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N/A</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5</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26/04/20</w:t>
            </w:r>
          </w:p>
        </w:tc>
      </w:tr>
      <w:tr w:rsidR="00705A35" w:rsidRPr="00705A35" w:rsidTr="005D733F">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5D733F">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5D733F"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Testing whether the expiry system works as intended</w:t>
            </w:r>
          </w:p>
        </w:tc>
        <w:tc>
          <w:tcPr>
            <w:tcW w:w="307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Wesley Meade</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Wesley Meade</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D733F">
              <w:rPr>
                <w:rFonts w:ascii="Century Gothic" w:eastAsia="Times New Roman" w:hAnsi="Century Gothic" w:cs="Arial"/>
                <w:color w:val="000000"/>
                <w:sz w:val="20"/>
                <w:szCs w:val="20"/>
              </w:rPr>
              <w:t>26/04/20</w:t>
            </w:r>
          </w:p>
        </w:tc>
      </w:tr>
      <w:tr w:rsidR="00705A35" w:rsidRPr="00705A35" w:rsidTr="00705A35">
        <w:trPr>
          <w:trHeight w:val="73"/>
        </w:trPr>
        <w:tc>
          <w:tcPr>
            <w:tcW w:w="1489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5D733F">
        <w:trPr>
          <w:trHeight w:val="347"/>
        </w:trPr>
        <w:tc>
          <w:tcPr>
            <w:tcW w:w="3723"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7"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5D733F" w:rsidRPr="00705A35" w:rsidTr="005D733F">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5D733F" w:rsidRPr="00705A35" w:rsidRDefault="005D733F" w:rsidP="005D733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Testing whether the expiry system works as intended</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5D733F" w:rsidRPr="00705A35" w:rsidRDefault="005D733F" w:rsidP="005D733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There must be rentals that expired within the hour.</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rsidR="005D733F" w:rsidRPr="00705A35" w:rsidRDefault="005D733F" w:rsidP="005D733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User has two servers that expired within the hour.</w:t>
            </w:r>
          </w:p>
        </w:tc>
        <w:tc>
          <w:tcPr>
            <w:tcW w:w="3727" w:type="dxa"/>
            <w:gridSpan w:val="3"/>
            <w:tcBorders>
              <w:top w:val="single" w:sz="4" w:space="0" w:color="BFBFBF"/>
              <w:left w:val="nil"/>
              <w:bottom w:val="single" w:sz="8" w:space="0" w:color="BFBFBF"/>
              <w:right w:val="single" w:sz="4" w:space="0" w:color="BFBFBF"/>
            </w:tcBorders>
            <w:shd w:val="clear" w:color="auto" w:fill="auto"/>
            <w:vAlign w:val="center"/>
            <w:hideMark/>
          </w:tcPr>
          <w:p w:rsidR="005D733F" w:rsidRPr="00705A35" w:rsidRDefault="005D733F" w:rsidP="005D733F">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User has two servers that haven’t expired.</w:t>
            </w:r>
          </w:p>
        </w:tc>
      </w:tr>
      <w:tr w:rsidR="005D733F" w:rsidRPr="00705A35"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rsidR="005D733F" w:rsidRPr="00705A35" w:rsidRDefault="005D733F" w:rsidP="005D733F">
            <w:pPr>
              <w:rPr>
                <w:rFonts w:ascii="Century Gothic" w:eastAsia="Times New Roman" w:hAnsi="Century Gothic" w:cs="Arial"/>
                <w:b/>
                <w:bCs/>
                <w:color w:val="000000"/>
                <w:sz w:val="8"/>
                <w:szCs w:val="18"/>
              </w:rPr>
            </w:pPr>
          </w:p>
        </w:tc>
      </w:tr>
      <w:tr w:rsidR="005D733F" w:rsidRPr="00705A35" w:rsidTr="005D733F">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rsidR="005D733F" w:rsidRPr="00705A35" w:rsidRDefault="005D733F" w:rsidP="005D733F">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rsidR="005D733F" w:rsidRPr="00705A35" w:rsidRDefault="005D733F" w:rsidP="005D733F">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5D733F" w:rsidRPr="00705A35" w:rsidRDefault="005D733F" w:rsidP="005D733F">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rsidR="005D733F" w:rsidRPr="00705A35" w:rsidRDefault="005D733F" w:rsidP="005D733F">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rsidR="005D733F" w:rsidRPr="00705A35" w:rsidRDefault="005D733F" w:rsidP="005D733F">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5D733F" w:rsidRPr="00705A35" w:rsidRDefault="005D733F" w:rsidP="005D733F">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rsidR="005D733F" w:rsidRPr="00705A35" w:rsidRDefault="005D733F" w:rsidP="005D733F">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5D733F" w:rsidRPr="00705A35" w:rsidTr="005D733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5D733F" w:rsidRPr="00705A35" w:rsidRDefault="005D733F" w:rsidP="005D733F">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rsidR="005D733F" w:rsidRPr="00705A35" w:rsidRDefault="005D733F" w:rsidP="005D733F">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Testing the functionality</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5D733F" w:rsidRPr="00705A35" w:rsidRDefault="005D733F" w:rsidP="005D733F">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26/04/20</w:t>
            </w:r>
          </w:p>
        </w:tc>
        <w:tc>
          <w:tcPr>
            <w:tcW w:w="2800" w:type="dxa"/>
            <w:gridSpan w:val="3"/>
            <w:tcBorders>
              <w:top w:val="nil"/>
              <w:left w:val="nil"/>
              <w:bottom w:val="single" w:sz="4" w:space="0" w:color="BFBFBF"/>
              <w:right w:val="single" w:sz="4" w:space="0" w:color="BFBFBF"/>
            </w:tcBorders>
            <w:shd w:val="clear" w:color="auto" w:fill="auto"/>
            <w:vAlign w:val="center"/>
            <w:hideMark/>
          </w:tcPr>
          <w:p w:rsidR="005D733F" w:rsidRPr="00705A35" w:rsidRDefault="005D733F" w:rsidP="005D733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After an hour since the last expiry check the two expired servers are deleted. And any other rental that isn’t expired isn’t deleted</w:t>
            </w:r>
            <w:r w:rsidR="00CC4A40">
              <w:rPr>
                <w:rFonts w:ascii="Century Gothic" w:eastAsia="Times New Roman" w:hAnsi="Century Gothic" w:cs="Arial"/>
                <w:color w:val="000000"/>
                <w:sz w:val="20"/>
                <w:szCs w:val="20"/>
              </w:rPr>
              <w:t>. Afterward it should not attempt to delete the expired rental as they are already deleted.</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5D733F" w:rsidRPr="00705A35" w:rsidRDefault="005D733F" w:rsidP="005D733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CC4A40">
              <w:rPr>
                <w:rFonts w:ascii="Century Gothic" w:eastAsia="Times New Roman" w:hAnsi="Century Gothic" w:cs="Arial"/>
                <w:color w:val="000000"/>
                <w:sz w:val="20"/>
                <w:szCs w:val="20"/>
              </w:rPr>
              <w:t>An hour after the last expiry check the two expired servers where deleted. Rentals that where not expired did not delete. On the next attempt an hour later, it did not attempt to delete the previously expired rentals.</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5D733F" w:rsidRPr="00705A35" w:rsidRDefault="005D733F" w:rsidP="005D733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CC4A4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5D733F" w:rsidRPr="00705A35" w:rsidRDefault="005D733F" w:rsidP="005D733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CC4A40">
              <w:rPr>
                <w:rFonts w:ascii="Century Gothic" w:eastAsia="Times New Roman" w:hAnsi="Century Gothic" w:cs="Arial"/>
                <w:color w:val="000000"/>
                <w:sz w:val="20"/>
                <w:szCs w:val="20"/>
              </w:rPr>
              <w:t>N/A</w:t>
            </w:r>
            <w:bookmarkStart w:id="0" w:name="_GoBack"/>
            <w:bookmarkEnd w:id="0"/>
          </w:p>
        </w:tc>
      </w:tr>
    </w:tbl>
    <w:p w:rsidR="00705A35" w:rsidRDefault="00705A35" w:rsidP="002A3CCC">
      <w:pPr>
        <w:pStyle w:val="Header"/>
        <w:rPr>
          <w:rFonts w:ascii="Century Gothic" w:hAnsi="Century Gothic" w:cs="Arial"/>
          <w:b/>
          <w:color w:val="1F4E79" w:themeColor="accent5" w:themeShade="80"/>
          <w:sz w:val="10"/>
          <w:szCs w:val="20"/>
        </w:rPr>
        <w:sectPr w:rsidR="00705A35" w:rsidSect="004C4EA9">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C51350">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8BC" w:rsidRDefault="00C328BC" w:rsidP="00B01A05">
      <w:r>
        <w:separator/>
      </w:r>
    </w:p>
  </w:endnote>
  <w:endnote w:type="continuationSeparator" w:id="0">
    <w:p w:rsidR="00C328BC" w:rsidRDefault="00C328BC"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8BC" w:rsidRDefault="00C328BC" w:rsidP="00B01A05">
      <w:r>
        <w:separator/>
      </w:r>
    </w:p>
  </w:footnote>
  <w:footnote w:type="continuationSeparator" w:id="0">
    <w:p w:rsidR="00C328BC" w:rsidRDefault="00C328BC"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5"/>
  </w:num>
  <w:num w:numId="4">
    <w:abstractNumId w:val="9"/>
  </w:num>
  <w:num w:numId="5">
    <w:abstractNumId w:val="12"/>
  </w:num>
  <w:num w:numId="6">
    <w:abstractNumId w:val="3"/>
  </w:num>
  <w:num w:numId="7">
    <w:abstractNumId w:val="6"/>
  </w:num>
  <w:num w:numId="8">
    <w:abstractNumId w:val="2"/>
  </w:num>
  <w:num w:numId="9">
    <w:abstractNumId w:val="11"/>
  </w:num>
  <w:num w:numId="10">
    <w:abstractNumId w:val="0"/>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3F"/>
    <w:rsid w:val="0000378B"/>
    <w:rsid w:val="000068A2"/>
    <w:rsid w:val="00007337"/>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D733F"/>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C552F"/>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328B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C4A40"/>
    <w:rsid w:val="00CE6E7E"/>
    <w:rsid w:val="00CF53DC"/>
    <w:rsid w:val="00D20D28"/>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1A1C"/>
  <w14:defaultImageDpi w14:val="32767"/>
  <w15:chartTrackingRefBased/>
  <w15:docId w15:val="{B58D5BD5-43C3-4A68-B077-E4047A61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Local\Temp\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92C001-FA26-4F78-9446-546B17C4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59</TotalTime>
  <Pages>2</Pages>
  <Words>175</Words>
  <Characters>1004</Characters>
  <Application>Microsoft Office Word</Application>
  <DocSecurity>0</DocSecurity>
  <Lines>8</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X00156077 Wesley Meade</cp:lastModifiedBy>
  <cp:revision>1</cp:revision>
  <cp:lastPrinted>2019-01-26T22:57:00Z</cp:lastPrinted>
  <dcterms:created xsi:type="dcterms:W3CDTF">2020-04-26T11:12:00Z</dcterms:created>
  <dcterms:modified xsi:type="dcterms:W3CDTF">2020-04-26T12:11:00Z</dcterms:modified>
</cp:coreProperties>
</file>