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2"/>
        <w:jc w:val="center"/>
        <w:rPr>
          <w:rFonts w:ascii="Tahoma" w:hAnsi="Tahoma" w:eastAsia="Microsoft YaHei" w:cs="Arial"/>
          <w:b/>
          <w:b/>
          <w:bCs/>
          <w:sz w:val="32"/>
          <w:szCs w:val="32"/>
        </w:rPr>
      </w:pPr>
      <w:r>
        <w:rPr>
          <w:rFonts w:eastAsia="Microsoft YaHei" w:cs="Arial" w:ascii="Tahoma" w:hAnsi="Tahoma"/>
          <w:b/>
          <w:bCs/>
          <w:sz w:val="32"/>
          <w:szCs w:val="32"/>
        </w:rPr>
        <w:t xml:space="preserve">Container Docker per </w:t>
      </w:r>
      <w:r>
        <w:rPr>
          <w:rFonts w:eastAsia="Microsoft YaHei" w:cs="Arial" w:ascii="Tahoma" w:hAnsi="Tahoma"/>
          <w:b/>
          <w:bCs/>
          <w:sz w:val="32"/>
          <w:szCs w:val="32"/>
        </w:rPr>
        <w:t>invio DEM ( SubDeliveries )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3"/>
        <w:rPr>
          <w:rFonts w:ascii="Tahoma" w:hAnsi="Tahoma"/>
        </w:rPr>
      </w:pPr>
      <w:r>
        <w:rPr>
          <w:rFonts w:ascii="Tahoma" w:hAnsi="Tahoma"/>
        </w:rPr>
        <w:t xml:space="preserve">Comandi di compilazione </w:t>
      </w:r>
      <w:r>
        <w:rPr>
          <w:rFonts w:ascii="Tahoma" w:hAnsi="Tahoma"/>
        </w:rPr>
        <w:t>per la creazione dell’immagine</w:t>
      </w:r>
      <w:r>
        <w:rPr>
          <w:rFonts w:ascii="Tahoma" w:hAnsi="Tahoma"/>
        </w:rPr>
        <w:t xml:space="preserve"> e </w:t>
      </w:r>
      <w:r>
        <w:rPr>
          <w:rFonts w:eastAsia="Microsoft YaHei" w:cs="Arial" w:ascii="Tahoma" w:hAnsi="Tahoma"/>
          <w:b/>
          <w:bCs/>
          <w:sz w:val="28"/>
          <w:szCs w:val="28"/>
        </w:rPr>
        <w:t>creazione container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u w:val="single"/>
        </w:rPr>
      </w:pPr>
      <w:r>
        <w:rPr>
          <w:rFonts w:ascii="Tahoma" w:hAnsi="Tahoma"/>
          <w:u w:val="single"/>
        </w:rPr>
        <w:t>Comando per creare l’immagine docker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spacing w:before="0" w:after="0"/>
        <w:rPr>
          <w:rFonts w:ascii="Tahoma" w:hAnsi="Tahoma"/>
          <w:color w:val="3FAF46"/>
          <w:shd w:fill="000000" w:val="clear"/>
        </w:rPr>
      </w:pPr>
      <w:r>
        <w:rPr>
          <w:rFonts w:ascii="Tahoma" w:hAnsi="Tahoma"/>
          <w:color w:val="3FAF46"/>
          <w:shd w:fill="000000" w:val="clear"/>
        </w:rPr>
        <w:t>docker build -t reklame-octane:v1 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u w:val="single"/>
        </w:rPr>
      </w:pPr>
      <w:r>
        <w:rPr>
          <w:rFonts w:ascii="Tahoma" w:hAnsi="Tahoma"/>
          <w:u w:val="single"/>
        </w:rPr>
        <w:t>Comando per lanciare il container su docker</w:t>
      </w:r>
    </w:p>
    <w:p>
      <w:pPr>
        <w:pStyle w:val="Normal"/>
        <w:rPr>
          <w:rFonts w:ascii="Tahoma" w:hAnsi="Tahoma"/>
          <w:u w:val="single"/>
        </w:rPr>
      </w:pPr>
      <w:r>
        <w:rPr>
          <w:rFonts w:ascii="Tahoma" w:hAnsi="Tahoma"/>
          <w:u w:val="single"/>
        </w:rPr>
      </w:r>
    </w:p>
    <w:p>
      <w:pPr>
        <w:pStyle w:val="Normal"/>
        <w:rPr>
          <w:rFonts w:ascii="Tahoma" w:hAnsi="Tahoma"/>
          <w:color w:val="3FAF46"/>
          <w:shd w:fill="000000" w:val="clear"/>
        </w:rPr>
      </w:pPr>
      <w:r>
        <w:rPr>
          <w:rFonts w:ascii="Tahoma" w:hAnsi="Tahoma"/>
          <w:color w:val="3FAF46"/>
          <w:shd w:fill="000000" w:val="clear"/>
        </w:rPr>
        <w:t>docker run -e DEM=5448 -</w:t>
      </w:r>
      <w:r>
        <w:rPr>
          <w:rFonts w:ascii="Tahoma" w:hAnsi="Tahoma"/>
          <w:color w:val="3FAF46"/>
          <w:shd w:fill="000000" w:val="clear"/>
        </w:rPr>
        <w:t>e FILEENV=production</w:t>
      </w:r>
      <w:r>
        <w:rPr>
          <w:rFonts w:ascii="Tahoma" w:hAnsi="Tahoma"/>
          <w:color w:val="3FAF46"/>
          <w:shd w:fill="000000" w:val="clear"/>
        </w:rPr>
        <w:t xml:space="preserve"> -d -p 8000:80 reklame-octane:v1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La variabile di ambiente </w:t>
      </w:r>
      <w:r>
        <w:rPr>
          <w:rFonts w:ascii="Tahoma" w:hAnsi="Tahoma"/>
          <w:b/>
          <w:bCs/>
        </w:rPr>
        <w:t>DEM</w:t>
      </w:r>
      <w:r>
        <w:rPr>
          <w:rFonts w:ascii="Tahoma" w:hAnsi="Tahoma"/>
        </w:rPr>
        <w:t xml:space="preserve"> verrà poi utilizzata internamente come riferimento per il sottoinvio da utilizzare.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  <w:b/>
          <w:bCs/>
        </w:rPr>
        <w:t>N.B.</w:t>
      </w:r>
      <w:r>
        <w:rPr>
          <w:rFonts w:ascii="Tahoma" w:hAnsi="Tahoma"/>
        </w:rPr>
        <w:t xml:space="preserve"> l’opzione </w:t>
      </w:r>
      <w:r>
        <w:rPr>
          <w:rFonts w:ascii="Tahoma" w:hAnsi="Tahoma"/>
          <w:b/>
          <w:bCs/>
        </w:rPr>
        <w:t>-e</w:t>
      </w:r>
      <w:r>
        <w:rPr>
          <w:rFonts w:ascii="Tahoma" w:hAnsi="Tahoma"/>
        </w:rPr>
        <w:t xml:space="preserve"> deve sempre essere il primo argomento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u w:val="single"/>
        </w:rPr>
      </w:pPr>
      <w:r>
        <w:rPr>
          <w:rFonts w:ascii="Tahoma" w:hAnsi="Tahoma"/>
          <w:u w:val="single"/>
        </w:rPr>
        <w:t>Composizione ricetta</w:t>
      </w:r>
    </w:p>
    <w:p>
      <w:pPr>
        <w:pStyle w:val="Normal"/>
        <w:rPr>
          <w:rFonts w:ascii="Tahoma" w:hAnsi="Tahoma"/>
          <w:u w:val="single"/>
        </w:rPr>
      </w:pPr>
      <w:r>
        <w:rPr>
          <w:rFonts w:ascii="Tahoma" w:hAnsi="Tahoma"/>
          <w:u w:val="single"/>
        </w:rPr>
      </w:r>
    </w:p>
    <w:p>
      <w:pPr>
        <w:pStyle w:val="Normal"/>
        <w:numPr>
          <w:ilvl w:val="0"/>
          <w:numId w:val="2"/>
        </w:numPr>
        <w:rPr>
          <w:rFonts w:ascii="Tahoma" w:hAnsi="Tahoma"/>
        </w:rPr>
      </w:pPr>
      <w:r>
        <w:rPr>
          <w:rFonts w:ascii="Tahoma" w:hAnsi="Tahoma"/>
        </w:rPr>
        <w:t>SUPERVISOR</w:t>
      </w:r>
    </w:p>
    <w:p>
      <w:pPr>
        <w:pStyle w:val="Normal"/>
        <w:numPr>
          <w:ilvl w:val="0"/>
          <w:numId w:val="2"/>
        </w:numPr>
        <w:rPr>
          <w:rFonts w:ascii="Tahoma" w:hAnsi="Tahoma"/>
        </w:rPr>
      </w:pPr>
      <w:r>
        <w:rPr>
          <w:rFonts w:ascii="Tahoma" w:hAnsi="Tahoma"/>
        </w:rPr>
        <w:t>PHP-</w:t>
      </w:r>
      <w:r>
        <w:rPr>
          <w:rFonts w:ascii="Tahoma" w:hAnsi="Tahoma"/>
        </w:rPr>
        <w:t>FPM 8.0</w:t>
      </w:r>
    </w:p>
    <w:p>
      <w:pPr>
        <w:pStyle w:val="Normal"/>
        <w:numPr>
          <w:ilvl w:val="0"/>
          <w:numId w:val="2"/>
        </w:numPr>
        <w:rPr>
          <w:rFonts w:ascii="Tahoma" w:hAnsi="Tahoma"/>
        </w:rPr>
      </w:pPr>
      <w:r>
        <w:rPr>
          <w:rFonts w:ascii="Tahoma" w:hAnsi="Tahoma"/>
        </w:rPr>
        <w:t>NGINX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Supervisor viene avviato con PID 1, se il container viene killato il segnale di interruzione viene propagato a tutti i servizi attivi avviati come task.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  <w:t>Architettura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L’applicativo ha una sovrastruttura di gestione dei processi: Supervisor. </w:t>
      </w:r>
      <w:r>
        <w:rPr>
          <w:rFonts w:ascii="Tahoma" w:hAnsi="Tahoma"/>
        </w:rPr>
        <w:t>Funge da</w:t>
      </w:r>
      <w:r>
        <w:rPr>
          <w:rFonts w:ascii="Tahoma" w:hAnsi="Tahoma"/>
        </w:rPr>
        <w:t xml:space="preserve"> task manager </w:t>
      </w:r>
      <w:r>
        <w:rPr>
          <w:rFonts w:ascii="Tahoma" w:hAnsi="Tahoma"/>
        </w:rPr>
        <w:t>e</w:t>
      </w:r>
      <w:r>
        <w:rPr>
          <w:rFonts w:ascii="Tahoma" w:hAnsi="Tahoma"/>
        </w:rPr>
        <w:t xml:space="preserve"> si occupa di startare </w:t>
      </w:r>
      <w:r>
        <w:rPr>
          <w:rFonts w:ascii="Tahoma" w:hAnsi="Tahoma"/>
        </w:rPr>
        <w:t>i vari servizi: Nginx, Php-fpm e in fine il comando cli che avvia la dem.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Abbiamo utilizzato</w:t>
      </w:r>
      <w:r>
        <w:rPr>
          <w:rFonts w:ascii="Tahoma" w:hAnsi="Tahoma"/>
        </w:rPr>
        <w:t xml:space="preserve"> come base il framework </w:t>
      </w:r>
      <w:r>
        <w:rPr>
          <w:rFonts w:ascii="Tahoma" w:hAnsi="Tahoma"/>
        </w:rPr>
        <w:t>L</w:t>
      </w:r>
      <w:r>
        <w:rPr>
          <w:rFonts w:ascii="Tahoma" w:hAnsi="Tahoma"/>
        </w:rPr>
        <w:t xml:space="preserve">aravel versione 8.0, al quale sono stati mappati alcuni model </w:t>
      </w:r>
      <w:r>
        <w:rPr>
          <w:rFonts w:ascii="Tahoma" w:hAnsi="Tahoma"/>
        </w:rPr>
        <w:t>di tipo Eloquent</w:t>
      </w:r>
      <w:r>
        <w:rPr>
          <w:rFonts w:ascii="Tahoma" w:hAnsi="Tahoma"/>
        </w:rPr>
        <w:t xml:space="preserve"> utilizzati per la gestione delle dem in sendgoon.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3"/>
        <w:rPr>
          <w:rFonts w:ascii="Tahoma" w:hAnsi="Tahoma"/>
        </w:rPr>
      </w:pPr>
      <w:r>
        <w:rPr>
          <w:rFonts w:ascii="Tahoma" w:hAnsi="Tahoma"/>
        </w:rPr>
        <w:t>Enviro</w:t>
      </w:r>
      <w:r>
        <w:rPr>
          <w:rFonts w:ascii="Tahoma" w:hAnsi="Tahoma"/>
        </w:rPr>
        <w:t>n</w:t>
      </w:r>
      <w:r>
        <w:rPr>
          <w:rFonts w:ascii="Tahoma" w:hAnsi="Tahoma"/>
        </w:rPr>
        <w:t>ments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Nella root del progetto sono presenti i file di environment composti in dotenv. Ogni file ha le variabili configurate in base all’ambiente a cui faranno riferimento.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  <w:t xml:space="preserve">Flusso </w:t>
      </w:r>
      <w:r>
        <w:rPr>
          <w:rFonts w:ascii="Tahoma" w:hAnsi="Tahoma"/>
        </w:rPr>
        <w:t>applicativo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L’app </w:t>
      </w:r>
      <w:r>
        <w:rPr>
          <w:rFonts w:ascii="Tahoma" w:hAnsi="Tahoma"/>
        </w:rPr>
        <w:t xml:space="preserve">viene eseguita da riga di comando attraverso un Command Cli nativo di </w:t>
      </w:r>
      <w:r>
        <w:rPr>
          <w:rFonts w:ascii="Tahoma" w:hAnsi="Tahoma"/>
        </w:rPr>
        <w:t>L</w:t>
      </w:r>
      <w:r>
        <w:rPr>
          <w:rFonts w:ascii="Tahoma" w:hAnsi="Tahoma"/>
        </w:rPr>
        <w:t>aravel</w:t>
      </w:r>
    </w:p>
    <w:p>
      <w:pPr>
        <w:pStyle w:val="Normal"/>
        <w:rPr>
          <w:rFonts w:ascii="Tahoma" w:hAnsi="Tahoma"/>
          <w:color w:val="3FAF46"/>
          <w:shd w:fill="000000" w:val="clear"/>
        </w:rPr>
      </w:pPr>
      <w:r>
        <w:rPr>
          <w:rFonts w:ascii="Tahoma" w:hAnsi="Tahoma"/>
          <w:color w:val="3FAF46"/>
          <w:shd w:fill="000000" w:val="clear"/>
        </w:rPr>
        <w:t>php artisan dem:send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l’</w:t>
      </w:r>
      <w:r>
        <w:rPr>
          <w:rFonts w:ascii="Tahoma" w:hAnsi="Tahoma"/>
        </w:rPr>
        <w:t xml:space="preserve">istruzione viene però eseguita come </w:t>
      </w:r>
      <w:r>
        <w:rPr>
          <w:rFonts w:ascii="Tahoma" w:hAnsi="Tahoma"/>
        </w:rPr>
        <w:t xml:space="preserve">task </w:t>
      </w:r>
      <w:r>
        <w:rPr>
          <w:rFonts w:ascii="Tahoma" w:hAnsi="Tahoma"/>
        </w:rPr>
        <w:t>dal supervisor in successione all’avvio di tutti gli altri servizi.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  <w:u w:val="single"/>
        </w:rPr>
        <w:t>Gli unici</w:t>
      </w:r>
      <w:r>
        <w:rPr>
          <w:rFonts w:ascii="Tahoma" w:hAnsi="Tahoma"/>
          <w:u w:val="single"/>
        </w:rPr>
        <w:t xml:space="preserve"> input util</w:t>
      </w:r>
      <w:r>
        <w:rPr>
          <w:rFonts w:ascii="Tahoma" w:hAnsi="Tahoma"/>
          <w:u w:val="single"/>
        </w:rPr>
        <w:t>i</w:t>
      </w:r>
      <w:r>
        <w:rPr>
          <w:rFonts w:ascii="Tahoma" w:hAnsi="Tahoma"/>
          <w:u w:val="single"/>
        </w:rPr>
        <w:t xml:space="preserve"> all’applicativo</w:t>
      </w:r>
      <w:r>
        <w:rPr>
          <w:rFonts w:ascii="Tahoma" w:hAnsi="Tahoma"/>
          <w:u w:val="single"/>
        </w:rPr>
        <w:t xml:space="preserve"> sono:</w:t>
      </w:r>
      <w:r>
        <w:rPr>
          <w:rFonts w:ascii="Tahoma" w:hAnsi="Tahoma"/>
          <w:u w:val="single"/>
        </w:rPr>
        <w:t xml:space="preserve"> l’identificativo del sottoinvio </w:t>
      </w:r>
      <w:r>
        <w:rPr>
          <w:rFonts w:ascii="Tahoma" w:hAnsi="Tahoma"/>
          <w:u w:val="single"/>
        </w:rPr>
        <w:t>e il file dotenv da utilizzare.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3"/>
        <w:rPr>
          <w:rFonts w:ascii="Tahoma" w:hAnsi="Tahoma"/>
        </w:rPr>
      </w:pPr>
      <w:r>
        <w:rPr>
          <w:rFonts w:ascii="Tahoma" w:hAnsi="Tahoma"/>
        </w:rPr>
        <w:t>Procedura delivery sottoinvio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>Step</w:t>
      </w:r>
      <w:r>
        <w:rPr>
          <w:rFonts w:ascii="Tahoma" w:hAnsi="Tahoma"/>
          <w:b/>
          <w:bCs/>
        </w:rPr>
        <w:t xml:space="preserve"> 1 – Identificazione del driver di spedizione e parametri mittente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Ogni </w:t>
      </w:r>
      <w:r>
        <w:rPr>
          <w:rFonts w:ascii="Tahoma" w:hAnsi="Tahoma"/>
        </w:rPr>
        <w:t>s</w:t>
      </w:r>
      <w:r>
        <w:rPr>
          <w:rFonts w:ascii="Tahoma" w:hAnsi="Tahoma"/>
        </w:rPr>
        <w:t xml:space="preserve">ottoinvio avrà a disposizione una relazione one-to-one con un send system che al suo interno conterrà tutte le informazioni utili per la spedizione della mail a livello di autenticazione e il tipo di driver da implementare, a meno che, non ci siano degli override direttamente nella configurazione della dem, per esempio l’api-key di mailgun. </w:t>
      </w:r>
      <w:r>
        <w:rPr>
          <w:rFonts w:ascii="Tahoma" w:hAnsi="Tahoma"/>
        </w:rPr>
        <w:t>v</w:t>
      </w:r>
      <w:r>
        <w:rPr>
          <w:rFonts w:ascii="Tahoma" w:hAnsi="Tahoma"/>
        </w:rPr>
        <w:t>errà quindi dedotto il tipo di driver da utilizzare, attualmente sono 3: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numPr>
          <w:ilvl w:val="0"/>
          <w:numId w:val="3"/>
        </w:numPr>
        <w:rPr>
          <w:rFonts w:ascii="Tahoma" w:hAnsi="Tahoma"/>
        </w:rPr>
      </w:pPr>
      <w:r>
        <w:rPr>
          <w:rFonts w:ascii="Tahoma" w:hAnsi="Tahoma"/>
        </w:rPr>
        <w:t>SMTP</w:t>
      </w:r>
    </w:p>
    <w:p>
      <w:pPr>
        <w:pStyle w:val="Normal"/>
        <w:numPr>
          <w:ilvl w:val="0"/>
          <w:numId w:val="3"/>
        </w:numPr>
        <w:rPr>
          <w:rFonts w:ascii="Tahoma" w:hAnsi="Tahoma"/>
        </w:rPr>
      </w:pPr>
      <w:r>
        <w:rPr>
          <w:rFonts w:ascii="Tahoma" w:hAnsi="Tahoma"/>
        </w:rPr>
        <w:t xml:space="preserve">MELTEMI </w:t>
      </w:r>
      <w:r>
        <w:rPr>
          <w:rFonts w:ascii="Tahoma" w:hAnsi="Tahoma"/>
        </w:rPr>
        <w:t>(SMTP)</w:t>
      </w:r>
    </w:p>
    <w:p>
      <w:pPr>
        <w:pStyle w:val="Normal"/>
        <w:numPr>
          <w:ilvl w:val="0"/>
          <w:numId w:val="3"/>
        </w:numPr>
        <w:rPr>
          <w:rFonts w:ascii="Tahoma" w:hAnsi="Tahoma"/>
        </w:rPr>
      </w:pPr>
      <w:r>
        <w:rPr>
          <w:rFonts w:ascii="Tahoma" w:hAnsi="Tahoma"/>
        </w:rPr>
        <w:t>MAILGUN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>Step</w:t>
      </w:r>
      <w:r>
        <w:rPr>
          <w:rFonts w:ascii="Tahoma" w:hAnsi="Tahoma"/>
          <w:b/>
          <w:bCs/>
        </w:rPr>
        <w:t xml:space="preserve"> 2 – La lista dei destinatari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Ogni sottoinvio </w:t>
      </w:r>
      <w:r>
        <w:rPr>
          <w:rFonts w:ascii="Tahoma" w:hAnsi="Tahoma"/>
        </w:rPr>
        <w:t xml:space="preserve">ha a disposizione una lista di destinatari presente nella tabella gen_users_send 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Tra i parametri del send system è presente anche il buffer e il tempo di delay espresso in secondi. </w:t>
      </w:r>
      <w:r>
        <w:rPr>
          <w:rFonts w:ascii="Tahoma" w:hAnsi="Tahoma"/>
        </w:rPr>
        <w:t>I</w:t>
      </w:r>
      <w:r>
        <w:rPr>
          <w:rFonts w:ascii="Tahoma" w:hAnsi="Tahoma"/>
        </w:rPr>
        <w:t xml:space="preserve">l buffer viene usato per dividere il numero totale degli utenti ( destinatari )  per creare degli slot di invio, il </w:t>
      </w:r>
      <w:r>
        <w:rPr>
          <w:rFonts w:ascii="Tahoma" w:hAnsi="Tahoma"/>
        </w:rPr>
        <w:t xml:space="preserve">delay </w:t>
      </w:r>
      <w:r>
        <w:rPr>
          <w:rFonts w:ascii="Tahoma" w:hAnsi="Tahoma"/>
        </w:rPr>
        <w:t>invece è l’intervallo di tempo tra il tempo impiegato da</w:t>
      </w:r>
      <w:r>
        <w:rPr>
          <w:rFonts w:ascii="Tahoma" w:hAnsi="Tahoma"/>
        </w:rPr>
        <w:t>llo slot precedente</w:t>
      </w:r>
      <w:r>
        <w:rPr>
          <w:rFonts w:ascii="Tahoma" w:hAnsi="Tahoma"/>
        </w:rPr>
        <w:t xml:space="preserve"> e il parametro </w:t>
      </w:r>
      <w:r>
        <w:rPr>
          <w:rFonts w:ascii="Tahoma" w:hAnsi="Tahoma"/>
        </w:rPr>
        <w:t>stesso</w:t>
      </w:r>
      <w:r>
        <w:rPr>
          <w:rFonts w:ascii="Tahoma" w:hAnsi="Tahoma"/>
        </w:rPr>
        <w:t>, per esempio: abbiamo 1000 utenti, buffer 100 e delay 30s, avremmo quindi 10 slot da 100 utenti: uno slot impiega 10s ( esempio ), lo slot successivo parti</w:t>
      </w:r>
      <w:r>
        <w:rPr>
          <w:rFonts w:ascii="Tahoma" w:hAnsi="Tahoma"/>
        </w:rPr>
        <w:t>rà</w:t>
      </w:r>
      <w:r>
        <w:rPr>
          <w:rFonts w:ascii="Tahoma" w:hAnsi="Tahoma"/>
        </w:rPr>
        <w:t xml:space="preserve"> dopo ( 30s – 10s ) 20s. Se il delta è minore di 0 lo slot partirà immediatamente.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>Step</w:t>
      </w:r>
      <w:r>
        <w:rPr>
          <w:rFonts w:ascii="Tahoma" w:hAnsi="Tahoma"/>
          <w:b/>
          <w:bCs/>
        </w:rPr>
        <w:t xml:space="preserve"> 3 – Response dei driver da notificare su SQS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Dopo l’invio di ogni slot è necessario pushare un messaggio </w:t>
      </w:r>
      <w:r>
        <w:rPr>
          <w:rFonts w:ascii="Tahoma" w:hAnsi="Tahoma"/>
        </w:rPr>
        <w:t>sulla coda SQS</w:t>
      </w:r>
      <w:r>
        <w:rPr>
          <w:rFonts w:ascii="Tahoma" w:hAnsi="Tahoma"/>
        </w:rPr>
        <w:t>, per risparmiare spazio la stringa viene gzippata e convertita in base64.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Ogni driver ha un messaggio di risposta differente,</w:t>
      </w:r>
      <w:r>
        <w:rPr>
          <w:rFonts w:ascii="Tahoma" w:hAnsi="Tahoma"/>
        </w:rPr>
        <w:t xml:space="preserve"> Mailgun spedisce un blocco intero di destinatari e si occupa di deliverarli singolarmente, mentre Meltemi e Smtp ricevono una risposta puntuale mail per mail.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>Step 4 – Aggiornamento cursore su database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Contestualmente allo step 3 viene eseguito un update sul database di sendgoon per aggiornare lo stat</w:t>
      </w:r>
      <w:r>
        <w:rPr>
          <w:rFonts w:ascii="Tahoma" w:hAnsi="Tahoma"/>
        </w:rPr>
        <w:t xml:space="preserve">o </w:t>
      </w:r>
      <w:r>
        <w:rPr>
          <w:rFonts w:ascii="Tahoma" w:hAnsi="Tahoma"/>
        </w:rPr>
        <w:t xml:space="preserve">d’avanzamento </w:t>
      </w:r>
      <w:r>
        <w:rPr>
          <w:rFonts w:ascii="Tahoma" w:hAnsi="Tahoma"/>
        </w:rPr>
        <w:t>d</w:t>
      </w:r>
      <w:r>
        <w:rPr>
          <w:rFonts w:ascii="Tahoma" w:hAnsi="Tahoma"/>
        </w:rPr>
        <w:t>ella spedizione.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L’ update viene eseguito alla fine di ogni slot </w:t>
      </w:r>
      <w:r>
        <w:rPr>
          <w:rFonts w:ascii="Tahoma" w:hAnsi="Tahoma"/>
        </w:rPr>
        <w:t>nei seguenti campi: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tabella gen_schedules → </w:t>
      </w:r>
      <w:r>
        <w:rPr>
          <w:rFonts w:ascii="Tahoma" w:hAnsi="Tahoma"/>
          <w:i/>
          <w:iCs/>
        </w:rPr>
        <w:t>emails_sent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tabella dgb_task → </w:t>
      </w:r>
      <w:r>
        <w:rPr>
          <w:rFonts w:ascii="Tahoma" w:hAnsi="Tahoma"/>
          <w:i/>
          <w:iCs/>
        </w:rPr>
        <w:t>data</w:t>
      </w:r>
      <w:r>
        <w:rPr>
          <w:rFonts w:ascii="Tahoma" w:hAnsi="Tahoma"/>
        </w:rPr>
        <w:t xml:space="preserve"> ( json serializzato) </w:t>
      </w:r>
      <w:r>
        <w:rPr>
          <w:rFonts w:ascii="Tahoma" w:hAnsi="Tahoma"/>
          <w:i/>
          <w:iCs/>
        </w:rPr>
        <w:t>userSend</w:t>
      </w:r>
      <w:r>
        <w:rPr>
          <w:rFonts w:ascii="Tahoma" w:hAnsi="Tahoma"/>
        </w:rPr>
        <w:t xml:space="preserve"> ( ultimo indirizzo inviato ), </w:t>
      </w:r>
      <w:r>
        <w:rPr>
          <w:rFonts w:ascii="Tahoma" w:hAnsi="Tahoma"/>
          <w:i/>
          <w:iCs/>
        </w:rPr>
        <w:t>todo</w:t>
      </w:r>
      <w:r>
        <w:rPr>
          <w:rFonts w:ascii="Tahoma" w:hAnsi="Tahoma"/>
        </w:rPr>
        <w:t xml:space="preserve"> (slot totali rimanenti), </w:t>
      </w:r>
      <w:r>
        <w:rPr>
          <w:rFonts w:ascii="Tahoma" w:hAnsi="Tahoma"/>
          <w:i/>
          <w:iCs/>
        </w:rPr>
        <w:t>done</w:t>
      </w:r>
      <w:r>
        <w:rPr>
          <w:rFonts w:ascii="Tahoma" w:hAnsi="Tahoma"/>
        </w:rPr>
        <w:t xml:space="preserve"> (slot inviati)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Se tutti gli slot sono stati inviati rimane l</w:t>
      </w:r>
      <w:r>
        <w:rPr>
          <w:rFonts w:ascii="Tahoma" w:hAnsi="Tahoma"/>
        </w:rPr>
        <w:t xml:space="preserve">’ultimo passaggio dell’intero flusso: </w:t>
      </w:r>
      <w:r>
        <w:rPr>
          <w:rFonts w:ascii="Tahoma" w:hAnsi="Tahoma"/>
        </w:rPr>
        <w:t>l</w:t>
      </w:r>
      <w:r>
        <w:rPr>
          <w:rFonts w:ascii="Tahoma" w:hAnsi="Tahoma"/>
        </w:rPr>
        <w:t>o shutdown del container.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 xml:space="preserve">Step </w:t>
      </w:r>
      <w:r>
        <w:rPr>
          <w:rFonts w:ascii="Tahoma" w:hAnsi="Tahoma"/>
          <w:b/>
          <w:bCs/>
        </w:rPr>
        <w:t>5.A</w:t>
      </w:r>
      <w:r>
        <w:rPr>
          <w:rFonts w:ascii="Tahoma" w:hAnsi="Tahoma"/>
          <w:b/>
          <w:bCs/>
        </w:rPr>
        <w:t xml:space="preserve"> – </w:t>
      </w:r>
      <w:r>
        <w:rPr>
          <w:rFonts w:ascii="Tahoma" w:hAnsi="Tahoma"/>
          <w:b/>
          <w:bCs/>
        </w:rPr>
        <w:t xml:space="preserve">Finalizzazione dell’invio </w:t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</w:r>
    </w:p>
    <w:p>
      <w:pPr>
        <w:pStyle w:val="Normal"/>
        <w:rPr>
          <w:rFonts w:ascii="Tahoma" w:hAnsi="Tahoma"/>
          <w:b w:val="false"/>
          <w:b w:val="false"/>
          <w:bCs w:val="false"/>
        </w:rPr>
      </w:pPr>
      <w:r>
        <w:rPr>
          <w:rFonts w:ascii="Tahoma" w:hAnsi="Tahoma"/>
          <w:b w:val="false"/>
          <w:bCs w:val="false"/>
        </w:rPr>
        <w:t>Se l’invio si è concluso con successo il container procederà allo spegnimento automatico, prima effettuerà un update sulla tabella gen_ecs_task e inserirà lo stato di chiusura in SUCCESS.</w:t>
      </w:r>
    </w:p>
    <w:p>
      <w:pPr>
        <w:pStyle w:val="Normal"/>
        <w:rPr>
          <w:rFonts w:ascii="Tahoma" w:hAnsi="Tahoma"/>
          <w:b w:val="false"/>
          <w:b w:val="false"/>
          <w:bCs w:val="false"/>
        </w:rPr>
      </w:pPr>
      <w:r>
        <w:rPr>
          <w:rFonts w:ascii="Tahoma" w:hAnsi="Tahoma"/>
          <w:b w:val="false"/>
          <w:bCs w:val="false"/>
        </w:rPr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  <w:t xml:space="preserve">Step </w:t>
      </w:r>
      <w:r>
        <w:rPr>
          <w:rFonts w:ascii="Tahoma" w:hAnsi="Tahoma"/>
          <w:b/>
          <w:bCs/>
        </w:rPr>
        <w:t>5.B</w:t>
      </w:r>
      <w:r>
        <w:rPr>
          <w:rFonts w:ascii="Tahoma" w:hAnsi="Tahoma"/>
          <w:b/>
          <w:bCs/>
        </w:rPr>
        <w:t xml:space="preserve"> – </w:t>
      </w:r>
      <w:r>
        <w:rPr>
          <w:rFonts w:ascii="Tahoma" w:hAnsi="Tahoma"/>
          <w:b/>
          <w:bCs/>
        </w:rPr>
        <w:t>Errore fatale durante l’invio</w:t>
      </w:r>
    </w:p>
    <w:p>
      <w:pPr>
        <w:pStyle w:val="Normal"/>
        <w:rPr>
          <w:rFonts w:ascii="Tahoma" w:hAnsi="Tahoma"/>
          <w:b/>
          <w:b/>
          <w:bCs/>
        </w:rPr>
      </w:pPr>
      <w:r>
        <w:rPr>
          <w:rFonts w:ascii="Tahoma" w:hAnsi="Tahoma"/>
          <w:b/>
          <w:bCs/>
        </w:rPr>
      </w:r>
    </w:p>
    <w:p>
      <w:pPr>
        <w:pStyle w:val="Normal"/>
        <w:rPr>
          <w:rFonts w:ascii="Tahoma" w:hAnsi="Tahoma"/>
          <w:b w:val="false"/>
          <w:b w:val="false"/>
          <w:bCs w:val="false"/>
        </w:rPr>
      </w:pPr>
      <w:r>
        <w:rPr>
          <w:rFonts w:ascii="Tahoma" w:hAnsi="Tahoma"/>
          <w:b w:val="false"/>
          <w:bCs w:val="false"/>
        </w:rPr>
        <w:t>Se durante l'invio viene riscontrato un errore che impedisce la corretta finalizzazione dell'operazione, il container procederà automaticamente allo spegnimento. Prima di ciò, verrà eseguito un aggiornamento sulla tabella gen_ecs_task e verrà inserito lo stato di chiusura come "ERROR", insieme alla motivazione restituita dall'eccezione.</w:t>
      </w:r>
    </w:p>
    <w:p>
      <w:pPr>
        <w:pStyle w:val="Normal"/>
        <w:rPr>
          <w:rFonts w:ascii="Tahoma" w:hAnsi="Tahoma"/>
          <w:b w:val="false"/>
          <w:b w:val="false"/>
          <w:bCs w:val="false"/>
        </w:rPr>
      </w:pPr>
      <w:r>
        <w:rPr>
          <w:rFonts w:ascii="Tahoma" w:hAnsi="Tahoma"/>
          <w:b w:val="false"/>
          <w:bCs w:val="false"/>
        </w:rPr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  <w:t>Logging</w:t>
      </w:r>
    </w:p>
    <w:p>
      <w:pPr>
        <w:pStyle w:val="Corpodeltesto"/>
        <w:rPr>
          <w:rFonts w:ascii="Tahoma" w:hAnsi="Tahoma"/>
        </w:rPr>
      </w:pPr>
      <w:r>
        <w:rPr>
          <w:rFonts w:ascii="Tahoma" w:hAnsi="Tahoma"/>
        </w:rPr>
        <w:t>L’applica</w:t>
      </w:r>
      <w:r>
        <w:rPr>
          <w:rFonts w:ascii="Tahoma" w:hAnsi="Tahoma"/>
        </w:rPr>
        <w:t>tivo utilizza CloudWatch come bucket logging, i logs vengono indicizzati nominativamente, ogni invio dem ha il suo log in base anche all’ambiente in cui si trova per esempio: prod_4456.log o stage_330.log</w:t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  <w:t>Casi di restar</w:t>
      </w:r>
      <w:r>
        <w:rPr>
          <w:rFonts w:ascii="Tahoma" w:hAnsi="Tahoma"/>
        </w:rPr>
        <w:t xml:space="preserve">t per un </w:t>
      </w:r>
      <w:r>
        <w:rPr>
          <w:rFonts w:ascii="Tahoma" w:hAnsi="Tahoma"/>
        </w:rPr>
        <w:t xml:space="preserve">sottoinvio già avviato </w:t>
      </w:r>
      <w:r>
        <w:rPr>
          <w:rFonts w:ascii="Tahoma" w:hAnsi="Tahoma"/>
        </w:rPr>
        <w:t>in precedenza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Se l'applicativo è attualmente impegnato in un invio regolare e viene richiesto lo stop del container da ECS, viene eseguita la procedura di spegnimento graduale (graceful shutdown). In questo processo, </w:t>
      </w:r>
      <w:r>
        <w:rPr>
          <w:rFonts w:ascii="Tahoma" w:hAnsi="Tahoma"/>
        </w:rPr>
        <w:t>Supervisor</w:t>
      </w:r>
      <w:r>
        <w:rPr>
          <w:rFonts w:ascii="Tahoma" w:hAnsi="Tahoma"/>
        </w:rPr>
        <w:t xml:space="preserve"> invierà il segnale SIGINT ai vari processi, inclusa l'attività di invio dei sottoinvii.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Nel caso degli invii tramite driver SMTP, verrà registrato l'ultimo indirizzo email preciso inviato e verrà salvato come stato di avanzamento nel cursore. Nel caso di invii tramite Mailgun, lo stato dello slot dell'ultimo invio verrà perso, a meno che non si sia ottenuto un errore 400 o 403 durante l'invio.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Di conseguenza, all'avvio successivo dell'applicativo, verrà preso l'ultimo indirizzo disponibile e verrà utilizzato come offset per la selezione degli utenti da inviare, ricalcolando il chunk dei singoli slot.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3"/>
        <w:rPr>
          <w:rFonts w:ascii="Tahoma" w:hAnsi="Tahoma"/>
        </w:rPr>
      </w:pPr>
      <w:r>
        <w:rPr>
          <w:rFonts w:ascii="Tahoma" w:hAnsi="Tahoma"/>
        </w:rPr>
        <w:t>Event Bridge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EventBridge è configurato per notificare qualsiasi variazione di stato dei container, inviando le notifiche a SendGoon tramite la struttura standard. 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Il link è configurato si AWS ed è il seguente: </w:t>
      </w:r>
      <w:r>
        <w:rPr>
          <w:rFonts w:ascii="Tahoma" w:hAnsi="Tahoma"/>
          <w:i/>
          <w:iCs/>
        </w:rPr>
        <w:t>{ambiente}</w:t>
      </w:r>
      <w:r>
        <w:rPr>
          <w:rFonts w:ascii="Tahoma" w:hAnsi="Tahoma"/>
        </w:rPr>
        <w:t>/aws/change-status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Queste notifiche includono informazioni cruciali come gli ID dei task, i nuovi stati dei container e altre informazioni pertinenti. 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 xml:space="preserve">È importante notare che tutti gli eventi vengono registrati in un log denominato aws.log: </w:t>
      </w:r>
      <w:r>
        <w:rPr>
          <w:rFonts w:ascii="Tahoma" w:hAnsi="Tahoma"/>
        </w:rPr>
        <w:t>impostato nei vari files di confiogurazione</w:t>
      </w:r>
      <w:r>
        <w:rPr>
          <w:rFonts w:ascii="Tahoma" w:hAnsi="Tahoma"/>
        </w:rPr>
        <w:t xml:space="preserve">. 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  <w:t>Questo log contiene un registro dettagliato di tutte le attività relative ai container e alle notifiche inviate a SendGoon.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Titolo2"/>
        <w:rPr>
          <w:rFonts w:ascii="Tahoma" w:hAnsi="Tahoma"/>
        </w:rPr>
      </w:pPr>
      <w:r>
        <w:rPr>
          <w:rFonts w:ascii="Tahoma" w:hAnsi="Tahoma"/>
        </w:rPr>
        <w:t>Check su salute container bloccati</w:t>
      </w:r>
    </w:p>
    <w:p>
      <w:pPr>
        <w:pStyle w:val="Corpodeltesto"/>
        <w:rPr>
          <w:rFonts w:ascii="Tahoma" w:hAnsi="Tahoma"/>
        </w:rPr>
      </w:pPr>
      <w:r>
        <w:rPr>
          <w:rFonts w:ascii="Tahoma" w:hAnsi="Tahoma"/>
        </w:rPr>
        <w:t>Esiste uno script su una macchina di monitoraggio dedicato a monitorare lo stato di salute dei container attraverso un link esposto su una rotta web: /status. Su questa “vista”, viene costantemente stampato un timestamp insieme allo stato del container, che può essere "RUNNING" o "ERROR". È stabilito un limite di variazione dello stato pari a 5 minuti: se il timestamp rilevato è più recente del valore di threshold, viene stampato lo stato "ERROR". In questo caso, lo script di monitoraggio interverrà per interrompere il container e invierà a SendGoon lo stato con la ragione "I was unhealthy".</w:t>
      </w:r>
    </w:p>
    <w:p>
      <w:pPr>
        <w:pStyle w:val="Normal"/>
        <w:rPr>
          <w:rFonts w:ascii="Tahoma" w:hAnsi="Tahoma"/>
        </w:rPr>
      </w:pPr>
      <w:r>
        <w:rPr>
          <w:rFonts w:ascii="Tahoma" w:hAnsi="Tahom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egoe UI" w:cs="Tahoma"/>
      <w:color w:val="000000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459</TotalTime>
  <Application>LibreOffice/7.2.0.4$Windows_X86_64 LibreOffice_project/9a9c6381e3f7a62afc1329bd359cc48accb6435b</Application>
  <AppVersion>15.0000</AppVersion>
  <Pages>4</Pages>
  <Words>1031</Words>
  <Characters>5718</Characters>
  <CharactersWithSpaces>6697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2024-03-22T11:07:52Z</dcterms:modified>
  <cp:revision>8</cp:revision>
  <dc:subject/>
  <dc:title/>
</cp:coreProperties>
</file>