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Customer-embedded AI systems builder based in Honolulu, remote-first. I earn the technical win the way this role describes it: discovery, POC scoping with named success and exit criteria, demos on real partner data, and deployment architectures that inherit the customer's governance, access controls, and security model.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Three years running an evidence-grade agent control plane in production: agentic AI workflows with evals, tool use, and agent orchestration; typed state transitions; approval gates; fail-closed recovery. Hands-on data work — SQL, Postgres, ingestion/transformation pipelines — and the habit of productionizing every repeatable win into a module, a rail, or an agent.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Node.js · SQL · Bash · REST APIs · webhooks · Postgres · Supabase · data ingestion &amp; transformation · GitHub Actions (CI/CD) · containers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Agents: </w:t>
      </w:r>
      <w:r>
        <w:rPr>
          <w:rFonts w:ascii="Calibri" w:hAnsi="Calibri"/>
          <w:b w:val="0"/>
          <w:i w:val="0"/>
          <w:color w:val="1A1A1A"/>
          <w:sz w:val="21"/>
        </w:rPr>
        <w:t>evals · tool use · agent orchestration · LLM-powered prototypes · MCP protocol · function calling · RAG · prompt &amp; context engineering · human-in-the-loop control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Field Craft: </w:t>
      </w:r>
      <w:r>
        <w:rPr>
          <w:rFonts w:ascii="Calibri" w:hAnsi="Calibri"/>
          <w:b w:val="0"/>
          <w:i w:val="0"/>
          <w:color w:val="1A1A1A"/>
          <w:sz w:val="21"/>
        </w:rPr>
        <w:t>POC scoping &amp; definition · technical discovery · demos on live data · deployment architecture · governance inheritance · success/exit criteria · warm handoffs · roadmap feedback from the field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Run the technical win end to end across a </w:t>
      </w:r>
      <w:r>
        <w:rPr>
          <w:rFonts w:ascii="Calibri" w:hAnsi="Calibri"/>
          <w:b/>
          <w:i w:val="0"/>
          <w:color w:val="1A1A1A"/>
          <w:sz w:val="21"/>
        </w:rPr>
        <w:t>1,413-repository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platform: discovery, scoped proof-of-concept with explicit success criteria, demo on live data, deployment architecture — then hand off warm with full context.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Operate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agent control plane with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green: typed state transitions, human approval gates, fail-closed recovery — governed agentic AI the way enterprise security reviews demand.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Built agentic workflows with </w:t>
      </w:r>
      <w:r>
        <w:rPr>
          <w:rFonts w:ascii="Calibri" w:hAnsi="Calibri"/>
          <w:b/>
          <w:i w:val="0"/>
          <w:color w:val="1A1A1A"/>
          <w:sz w:val="21"/>
        </w:rPr>
        <w:t>evals, tool use, and agent orchestration</w:t>
      </w:r>
      <w:r>
        <w:rPr>
          <w:rFonts w:ascii="Calibri" w:hAnsi="Calibri"/>
          <w:b w:val="0"/>
          <w:i w:val="0"/>
          <w:color w:val="1A1A1A"/>
          <w:sz w:val="21"/>
        </w:rPr>
        <w:t xml:space="preserve"> in daily practice; integrated </w:t>
      </w:r>
      <w:r>
        <w:rPr>
          <w:rFonts w:ascii="Calibri" w:hAnsi="Calibri"/>
          <w:b/>
          <w:i w:val="0"/>
          <w:color w:val="1A1A1A"/>
          <w:sz w:val="21"/>
        </w:rPr>
        <w:t>65 MCP connectors</w:t>
      </w:r>
      <w:r>
        <w:rPr>
          <w:rFonts w:ascii="Calibri" w:hAnsi="Calibri"/>
          <w:b w:val="0"/>
          <w:i w:val="0"/>
          <w:color w:val="1A1A1A"/>
          <w:sz w:val="21"/>
        </w:rPr>
        <w:t xml:space="preserve"> plus APIs, webhooks, and data pipelines across heterogeneous partner-style environments.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Productionize the repeatable parts: every second and third repetition becomes a module, a rail, or an agent that makes the next engagement faster — the compound-interest pattern this role runs on.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Spot patterns across engagements and feed them back into the platform: identify gaps, build custom tooling, and turn deployment learnings into roadmap capabilities.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Hands-on data work: SQL, Postgres, ingestion and transformation design, and data pipelines that hold up under real measurement — the measurement data is the product.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attributable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Composes assessments into campaign-level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immutable evidence models, stable finding codes, and fail-closed decisions.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Recovery restricted to contingency evidence declared before reassessment — the engine never silently tunes values until they pass.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agent systems portfolio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Connects multiple technical surfaces — agents, APIs, databases — into one coherent, verifiable working system.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Agents: </w:t>
      </w:r>
      <w:r>
        <w:rPr>
          <w:rFonts w:ascii="Calibri" w:hAnsi="Calibri"/>
          <w:b w:val="0"/>
          <w:i w:val="0"/>
          <w:color w:val="1A1A1A"/>
          <w:sz w:val="21"/>
        </w:rPr>
        <w:t>evals · tool use · agent orchestration · LLM prototypes · MCP protocol · function calling · RAG · prompt &amp; context engineering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Data &amp; Infra: </w:t>
      </w:r>
      <w:r>
        <w:rPr>
          <w:rFonts w:ascii="Calibri" w:hAnsi="Calibri"/>
          <w:b w:val="0"/>
          <w:i w:val="0"/>
          <w:color w:val="1A1A1A"/>
          <w:sz w:val="21"/>
        </w:rPr>
        <w:t>Postgres · Supabase · REST APIs · webhooks · data pipelines · GitHub Actions · containers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Practice: </w:t>
      </w:r>
      <w:r>
        <w:rPr>
          <w:rFonts w:ascii="Calibri" w:hAnsi="Calibri"/>
          <w:b w:val="0"/>
          <w:i w:val="0"/>
          <w:color w:val="1A1A1A"/>
          <w:sz w:val="21"/>
        </w:rPr>
        <w:t>POC craft · demos on live data · verification gates · audit receipts · idempotent automation · warm handoffs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deployment,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