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systems engineer based in Honolulu. I embed with the teams whose workflows I'm deploying — scope the ambiguous process, build the narrow proof, harden what carries load — then feed what the deployment taught me back into the platform.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GenAI/RAG/agent systems, evaluation and governance with explicit release thresholds, failure analysis with root-cause quarantine, MCP-style integrations, durable multi-agent workflows. Former home inspector — permits, site, materials: evidence → finding → remediation is how I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prompt &amp; context engineering · MCP protocol · durable multi-agent workflows · gold sets &amp; eval harnesses · LLM-as-judge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Governance &amp; Reliability: </w:t>
      </w:r>
      <w:r>
        <w:rPr>
          <w:rFonts w:ascii="Calibri" w:hAnsi="Calibri"/>
          <w:b w:val="0"/>
          <w:i w:val="0"/>
          <w:color w:val="1A1A1A"/>
          <w:sz w:val="21"/>
        </w:rPr>
        <w:t>evaluation with release thresholds · error taxonomies · failure analysis · expert adjudication &amp; approval gates · policy enforcement · adversarial testing · observability/SLOs · rollback &amp; recovery runbooks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Develop, configure, deploy, and optimize production GenAI/RAG/agent systems across a </w:t>
      </w:r>
      <w:r>
        <w:rPr>
          <w:rFonts w:ascii="Calibri" w:hAnsi="Calibri"/>
          <w:b/>
          <w:i w:val="0"/>
          <w:color w:val="1A1A1A"/>
          <w:sz w:val="21"/>
        </w:rPr>
        <w:t>1,398-repository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agent governance, MCP-style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 gates every release: the document forge fails closed — any number not on the candidate kit-number allowlist raises </w:t>
      </w:r>
      <w:r>
        <w:rPr>
          <w:rFonts w:ascii="Calibri" w:hAnsi="Calibri"/>
          <w:b/>
          <w:i w:val="0"/>
          <w:color w:val="1A1A1A"/>
          <w:sz w:val="21"/>
        </w:rPr>
        <w:t>HonestyError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 instead of rendering; the campaign engine composes assessments into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 and stable finding codes.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evaluation harnesses with gold sets and LLM-as-judge (local Mistral API, live-verified) over retrieval, tool use, and multi-step agent behavior; error taxonomies and per-run failure analysis feed prompt and configuration tuning validated before anything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— typed schemas, claim tracking, evidence boundaries, idempotent automation; every run emits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multi-agent workflows with typed state transitions and recoverable runs: planning with typed handoff contracts, memory across runs, error recovery with root-cause quarantine, human-in-the-loop escalation on consequential actions.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observability and recovery by default: structured logs, task IDs, correlation IDs, retry counts, success/failure metrics — planned / started / succeeded / failed / verified distinguished on every run;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Embed with the operators whose workflows I'm automating: demos and proof-of-concepts, technical requirements, milestones and implementation plans, end-to-end coordination — then harden what the deployment taught me into platform capabilities.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 harnesses with gold sets and LLM-as-judge, adversarial review, and the fail-closed honesty gate — governance is engineered, not documented.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MCP protocol · durable multi-agent workflows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webhooks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demos &amp; POCs · eval gates · error taxonomies · failure analysis · observability/SLOs · audit receipts · idempotent automation · runbooks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No pharma, biotech, or GxP delivery experience — evidence discipline (hash receipts, provenance envelopes, audit trails) is the transferable practice.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