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governed multi-agent systems and the infrastructure they need to survive production: orchestration with typed handoff contracts, agent evaluation as release discipline — eval sets, behavioral assertions, LLM-as-judge rubrics, regression gates — and observability, monitoring, guardrails, and governance wired into every run. Secure, reliable, scalable, observable, governed: that is how I ship agents.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as a founder building applied-AI systems from Honolulu: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tool/API integrations, multi-agent systems orchestrating tools, APIs, and enterprise services, eval infrastructure that blocks regressions before production, and fail-closed guardrails — tracing, human-in-the-loop approvals, safe rollout, rollback as default. Density over duration: the systems below are built, running, and used daily, not claimed.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Node.js · REST APIs &amp; microservices · containers · Supabase · Postgres (incl. pgvector) · SQL · Bash · GitHub Actions (CI/CD) · packaging &amp; deployment · production diagnostics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Agentic Systems: </w:t>
      </w:r>
      <w:r>
        <w:rPr>
          <w:rFonts w:ascii="Calibri" w:hAnsi="Calibri"/>
          <w:b w:val="0"/>
          <w:i w:val="0"/>
          <w:color w:val="1A1A1A"/>
          <w:sz w:val="21"/>
        </w:rPr>
        <w:t>multi-agent orchestration · typed handoff contracts · tool/function calling · planning &amp; reasoning workflows · MCP protocol (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integrations) · enterprise API integration · RAG over vector databases (pgvector, Pinecone) &amp; knowledge graphs (Neo4j) · prompt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Evals, Observability &amp; Governance: </w:t>
      </w:r>
      <w:r>
        <w:rPr>
          <w:rFonts w:ascii="Calibri" w:hAnsi="Calibri"/>
          <w:b w:val="0"/>
          <w:i w:val="0"/>
          <w:color w:val="1A1A1A"/>
          <w:sz w:val="21"/>
        </w:rPr>
        <w:t>eval-set definition &amp; behavioral assertions · LLM-as-judge with written rubrics · eval-driven prompt/tool/workflow iteration · regression gates &amp; release thresholds · trace intelligence · monitoring &amp; alerting posture · guardrails &amp; policy controls · human-in-the-loop approvals · fail-closed recovery · audit receipts &amp; decision logs · architecture &amp; investment prioritization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Design and operate governed multi-agent systems: autonomous and semi-autonomous agents that plan, reason, decide, and execute, orchestrating interactions between agents, tools, APIs, and services through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integrations — every interaction typed by contract, receipted, and reconstructable from its trace.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and run agent evaluations as release discipline: define eval sets, test behavior against written assertions, iterate on prompts, tools, and workflows — LLM-as-judge scoring with rubrics, replay loops, explicit release thresholds, and CI regression gates that block a regression from merging. The document forge itself fails closed on unapproved claims.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Implement observability, monitoring, guardrails, and governance for production AI: trace intelligence logging prompts, tool calls, and decisions on every run; per-task latency instrumentation; decision audit logs; human-in-the-loop approval gates typed into state transitions; policy controls and fail-closed recovery — production AI meeting enterprise standards across a 1,398-repo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Deploy and diagnose production agentic systems: package and ship TypeScript/Node.js and Python services with CI/CD, progressive delivery, monitoring, and rollback as the default posture — strong diagnostics across the AI stack, root-cause quarantine instead of silent retries, circuit breakers and dead-letter capture.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and deploy RAG solutions over federated enterprise knowledge: retrieval-grounded generation with provenance, fanning out across Mem0, Supermemory, Supabase pgvector, Pinecone, and Neo4j behind one MCP interface — content-hash dedup, typed capability contracts, structured outputs.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Set applied-AI architecture and investment priorities across the estate: consequential tradeoffs among models, build-vs-buy, and risk controls driven by telemetry —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behavioral checks green, </w:t>
      </w:r>
      <w:r>
        <w:rPr>
          <w:rFonts w:ascii="Calibri" w:hAnsi="Calibri"/>
          <w:b/>
          <w:i w:val="0"/>
          <w:color w:val="1A1A1A"/>
          <w:sz w:val="21"/>
        </w:rPr>
        <w:t>20+</w:t>
      </w:r>
      <w:r>
        <w:rPr>
          <w:rFonts w:ascii="Calibri" w:hAnsi="Calibri"/>
          <w:b w:val="0"/>
          <w:i w:val="0"/>
          <w:color w:val="1A1A1A"/>
          <w:sz w:val="21"/>
        </w:rPr>
        <w:t xml:space="preserve"> production repositories maintained — the judgment load this role asks for, exercised daily against real load.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Optimize AI workflows for performance, scalability, reliability, and cost: failure-injection recovery patterns, bounded tool actions, recoverable runs, and cost-aware iteration on model calls — dogfooded daily by the agent campaign engine that runs my own operation end to end.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multi-agent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engine with immutable evidence models, stable finding codes,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 — the eval-set-and-release-threshold pattern BMC names.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completion claim without independent provider readback; every run reconstructable from its trace.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governed multi-agent infrastructure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Orchestration primitives with typed handoff contracts,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tool integrations with evidence boundaries and audit receipts, and human-in-the-loop control — across a live-verified 1,398-repo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on agent runs — the observability substrate governance depends on.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Agentic Systems: </w:t>
      </w:r>
      <w:r>
        <w:rPr>
          <w:rFonts w:ascii="Calibri" w:hAnsi="Calibri"/>
          <w:b w:val="0"/>
          <w:i w:val="0"/>
          <w:color w:val="1A1A1A"/>
          <w:sz w:val="21"/>
        </w:rPr>
        <w:t>multi-agent orchestration · tool/function calling · MCP protocol (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integrations) · RAG (pgvector, Pinecone, Neo4j) · prompt engineering · planning &amp; reasoning workflows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Evals, Observability &amp; Governance: </w:t>
      </w:r>
      <w:r>
        <w:rPr>
          <w:rFonts w:ascii="Calibri" w:hAnsi="Calibri"/>
          <w:b w:val="0"/>
          <w:i w:val="0"/>
          <w:color w:val="1A1A1A"/>
          <w:sz w:val="21"/>
        </w:rPr>
        <w:t>eval sets &amp; behavioral assertions · LLM-as-judge · regression gates · release thresholds · trace intelligence · monitoring · guardrails &amp; policy controls · human-in-the-loop · fail-closed recovery · audit receipts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 xml:space="preserve">Evidence boundary: portfolio systems are independent work. No claim of enterprise-customer deployment track record, BMC-internal production work, or certification. Agentic frameworks were hand-rolled (deterministic DAG scheduler, </w:t>
      </w:r>
      <w:r>
        <w:rPr>
          <w:rFonts w:ascii="Calibri" w:hAnsi="Calibri"/>
          <w:b/>
          <w:i/>
          <w:color w:val="595959"/>
          <w:sz w:val="17"/>
        </w:rPr>
        <w:t>95/95</w:t>
      </w:r>
      <w:r>
        <w:rPr>
          <w:rFonts w:ascii="Calibri" w:hAnsi="Calibri"/>
          <w:b w:val="0"/>
          <w:i/>
          <w:color w:val="595959"/>
          <w:sz w:val="17"/>
        </w:rPr>
        <w:t xml:space="preserve"> green); LangGraph/LangChain/CrewAI not claimed.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