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the components that hold up under real load: production data pipelines, LLM applications, agents, and workflow automations — shipped as runnable, maintainable code the client can operate after the engagement ends. Every engagement feeds back into reusable accelerators, patterns, and points of view: I feed the blueprint, not just the invoice.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as a founder running an evidence-grade agent control plane from Honolulu: hand-rolled multi-agent loops with function calling, structured outputs, typed handoff contracts, retrieval over my own estate, 65 MCP connectors, and an eval-harness discipline on every agent shipped. Remote-first; client-embedded.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containers · GitHub Actions (CI/CD) · Supabase · Postgres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LLM application development · RAG pipelines · hand-rolled multi-agent loops · function calling · structured outputs · workflow automations · LLM evaluation harnesses · replay loops · guardrails · fail-closed recovery · MCP protocol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Delivery: </w:t>
      </w:r>
      <w:r>
        <w:rPr>
          <w:rFonts w:ascii="Calibri" w:hAnsi="Calibri"/>
          <w:b w:val="0"/>
          <w:i w:val="0"/>
          <w:color w:val="1A1A1A"/>
          <w:sz w:val="21"/>
        </w:rPr>
        <w:t>client-embedded scoping · demos &amp; POCs · testing discipline · monitoring &amp; observability · latency &amp; token-cost benchmarks · verification gates · audit receipts · idempotent automation · documentation &amp; handover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production LLM applications, agents, and workflow automations with typed tool schemas, structured outputs, and retrieval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Run an eval-harness discipline on every agent shipped: prompt and configuration changes validated by eval harnesses with replay loops before anything touches production — fail-closed by default, never guess.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into environments I don't own — evidence boundaries and audit receipts built for client-cloud compliance regimes.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Turn ambiguous work into working software with limited supervision: scope with operators, build the narrow end-to-end proof, ship runnable and maintainable code others can operate after handover.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Build reusable accelerators deliberately: every engagement's learnings feed back into durable patterns for claim tracking, evidence boundaries, audit receipts, and human-in-the-loop control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outcomes against business impact, not just shipped code: KPIs, baselines, and instrumentation agreed before deployment, then delivered against them.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SQL · TypeScript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LLM application development · RAG pipelines · hand-rolled multi-agent loops · function calling · structured outputs · workflow automations · evaluation harnesses · MCP protocol · typed handoff contracts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Delivery: </w:t>
      </w:r>
      <w:r>
        <w:rPr>
          <w:rFonts w:ascii="Calibri" w:hAnsi="Calibri"/>
          <w:b w:val="0"/>
          <w:i w:val="0"/>
          <w:color w:val="1A1A1A"/>
          <w:sz w:val="21"/>
        </w:rPr>
        <w:t>client-embedded delivery · demos &amp; POCs · testing discipline · monitoring &amp; observability · verification gates · audit receipts · idempotent automation · documentation &amp; handover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