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build governed multi-agent systems that operate in regulated settings: a unified orchestration layer with typed handoff contracts, agent-assist tooling that keeps a human in the loop, and secure LLM-powered actions gated by evaluation before anything touches a real customer. Compliance isn't a review gate — it's the architecture.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Three years as a founder running an evidence-grade agent control plane from Honolulu: hand-rolled multi-agent loops with function calling, structured outputs, typed handoff contracts, durable recoverable runs,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connectors, and full run logging so every action is reconstructable and auditable. Remote-first; experimentation-to-production fluency.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TypeScript · Python · Node.js · SQL · Bash · REST APIs · containers · GitHub Actions (CI/CD) · Supabase · Postgres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ML Systems: </w:t>
      </w:r>
      <w:r>
        <w:rPr>
          <w:rFonts w:ascii="Calibri" w:hAnsi="Calibri"/>
          <w:b w:val="0"/>
          <w:i w:val="0"/>
          <w:color w:val="1A1A1A"/>
          <w:sz w:val="21"/>
        </w:rPr>
        <w:t>multi-agent orchestration · agent-assist systems · LLM-powered actions · eval harnesses &amp; golden suites · trace intelligence · guardrails · fail-closed recovery · human-in-the-loop control · MCP protocol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regulated deployment · audit receipts &amp; decision logs · CI regression gates · rollback as default posture · observability &amp; run logging · experimentation discipline · documentation &amp; handover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Build the unified orchestration layer for a multi-agent customer-support platform: hand-rolled multi-agent loops with function calling, structured outputs, and typed handoff contracts — every decision receipted, every action reconstructable from its trace.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Gate LLM-powered actions by evaluation before they touch production: golden suites with behavioral assertions, judge criteria with written rubrics, CI regression gates that block a regression from merging. Fail-closed by default, never guess.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Keep a human in the loop on consequential actions: approval gates typed into state transitions, recoverable runs with durable state that survives failure, rollback as the default posture — the governance pattern regulated deployments require.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1,413-repository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human approval gates on consequential actions, typed state transitions, durable recoverable runs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95/95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 — authoring MCP integrations that expose tools and structured resources to any MCP-compatible system — plus APIs, webhooks, and data pipelines, with evidence boundaries and audit receipts.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Instrument quality, latency, and decision correctness across agent runs: per-task latency instrumentation and decision audit logs that make both benchmarking and post-incident forensics honest.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campaign engine with immutable evidence models, stable finding codes,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decisions; recovery restricted to contingency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Verification gates on every agent action: no agent completion claim without independent provider readback — the eval gate decides, not the agent.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governed agent systems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 — the governance primitives a compliant-at-scale multi-agent platform needs.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Per-task latency instrumentation and decision audit logs across agent runs — full reconstructability of every action.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TypeScript · Python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ML Systems: </w:t>
      </w:r>
      <w:r>
        <w:rPr>
          <w:rFonts w:ascii="Calibri" w:hAnsi="Calibri"/>
          <w:b w:val="0"/>
          <w:i w:val="0"/>
          <w:color w:val="1A1A1A"/>
          <w:sz w:val="21"/>
        </w:rPr>
        <w:t>multi-agent orchestration · agent-assist systems · LLM-powered actions · eval harnesses &amp; golden suites · trace intelligence · guardrails · fail-closed recovery · human-in-the-loop control · MCP protocol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regulated deployment · audit receipts &amp; decision logs · CI regression gates · rollback as default posture · observability &amp; run logging · experimentation discipline · documentation &amp; handover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