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57" w:lineRule="auto"/>
        <w:jc w:val="center"/>
      </w:pPr>
      <w:r>
        <w:rPr>
          <w:rFonts w:ascii="Calibri Light" w:hAnsi="Calibri Light"/>
          <w:b/>
          <w:color w:val="0E5F6B"/>
          <w:sz w:val="50"/>
        </w:rPr>
        <w:t>Casey Barton</w:t>
      </w:r>
    </w:p>
    <w:p>
      <w:pPr>
        <w:spacing w:before="0" w:after="120" w:line="257" w:lineRule="auto"/>
        <w:jc w:val="center"/>
        <w:pBdr>
          <w:bottom w:val="single" w:sz="12" w:space="6" w:color="0E5F6B"/>
        </w:pBdr>
      </w:pPr>
      <w:r>
        <w:rPr>
          <w:rFonts w:ascii="Calibri" w:hAnsi="Calibri"/>
          <w:b w:val="0"/>
          <w:i w:val="0"/>
          <w:color w:val="595959"/>
          <w:sz w:val="19"/>
        </w:rPr>
        <w:t>Honolulu, HI  ·  (808) 936-5654  ·  glacier.equilibrium@gmail.com  ·  github.com/GlacierEQ  ·  casey-barton-glaciereq.vercel.app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PROFILE</w:t>
      </w:r>
    </w:p>
    <w:p>
      <w:pPr>
        <w:spacing w:before="0" w:after="60" w:line="257" w:lineRule="auto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Forward-deployed AI engineer based in Honolulu. I embed with operators on ambiguous, high-stakes workflows and ship production GenAI systems end to end — retrieval-grounded generation, multi-agent orchestration, evaluation harnesses — from customer scoping to production rollout.</w:t>
      </w:r>
    </w:p>
    <w:p>
      <w:pPr>
        <w:spacing w:before="0" w:after="60" w:line="257" w:lineRule="auto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Three years running an evidence-grade agent control plane: typed state transitions, approval gates, audit receipts, recoverable runs. Trusted-advisor motion with technical and non-technical stakeholders; led customer-facing field inspection operations before moving into AI systems. Open to travel; not relocating off-island.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CORE COMPETENCIES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Engineering: </w:t>
      </w:r>
      <w:r>
        <w:rPr>
          <w:rFonts w:ascii="Calibri" w:hAnsi="Calibri"/>
          <w:b w:val="0"/>
          <w:i w:val="0"/>
          <w:color w:val="1A1A1A"/>
          <w:sz w:val="21"/>
        </w:rPr>
        <w:t>Python · TypeScript · Node.js · SQL · Bash · REST APIs · Supabase · Postgres · Vercel · GitHub Actions (CI/CD)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AI &amp; Agents: </w:t>
      </w:r>
      <w:r>
        <w:rPr>
          <w:rFonts w:ascii="Calibri" w:hAnsi="Calibri"/>
          <w:b w:val="0"/>
          <w:i w:val="0"/>
          <w:color w:val="1A1A1A"/>
          <w:sz w:val="21"/>
        </w:rPr>
        <w:t>multi-agent orchestration · RAG pipelines · LLM evaluation harnesses · prompt &amp; context engineering · MCP protocol · human-in-the-loop control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Deployment: </w:t>
      </w:r>
      <w:r>
        <w:rPr>
          <w:rFonts w:ascii="Calibri" w:hAnsi="Calibri"/>
          <w:b w:val="0"/>
          <w:i w:val="0"/>
          <w:color w:val="1A1A1A"/>
          <w:sz w:val="21"/>
        </w:rPr>
        <w:t>production GenAI rollouts · customer-embedded scoping · verification gates · audit receipts · idempotent automation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EXPERIENCE</w:t>
      </w:r>
    </w:p>
    <w:p>
      <w:pPr>
        <w:tabs>
          <w:tab w:pos="10368" w:val="right"/>
        </w:tabs>
        <w:spacing w:before="120" w:after="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Founder / Applied AI Systems Architect</w:t>
      </w:r>
      <w:r>
        <w:rPr>
          <w:rFonts w:ascii="Calibri" w:hAnsi="Calibri"/>
          <w:b w:val="0"/>
          <w:i w:val="0"/>
          <w:color w:val="595959"/>
          <w:sz w:val="19"/>
        </w:rPr>
        <w:tab/>
        <w:t>2023 – Present</w:t>
      </w:r>
    </w:p>
    <w:p>
      <w:pPr>
        <w:spacing w:before="0" w:after="60" w:line="257" w:lineRule="auto"/>
        <w:jc w:val="left"/>
      </w:pPr>
      <w:r>
        <w:rPr>
          <w:rFonts w:ascii="Calibri" w:hAnsi="Calibri"/>
          <w:b w:val="0"/>
          <w:i/>
          <w:color w:val="595959"/>
          <w:sz w:val="19"/>
        </w:rPr>
        <w:t>GlacierEQ — Honolulu, HI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Forward-deployed motion as executable code (Forward-Deployed-Agentic-Powerhouse): DISCOVER→FRAME→BUILD→INTEGRATE→EVALUATE→PROVE→DEPLOY with evidence receipts — map the operator's workflow, build the narrow end-to-end proof, deepen what carries load.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Stateful retrieval (unified-memory-mcp, mcp-iceberg-mansion): Mem0, Supermemory, Supabase pgvector, Pinecone, and Neo4j federated behind one MCP interface — parallel fan-out, content-hash dedup; retrieval-grounded generation with provenance.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 xml:space="preserve">•  Multi-agent orchestration (anthropic-agent-coordinator): deterministic DAG scheduler, </w:t>
      </w:r>
      <w:r>
        <w:rPr>
          <w:rFonts w:ascii="Calibri" w:hAnsi="Calibri"/>
          <w:b/>
          <w:i w:val="0"/>
          <w:color w:val="1A1A1A"/>
          <w:sz w:val="21"/>
        </w:rPr>
        <w:t>95/95</w:t>
      </w:r>
      <w:r>
        <w:rPr>
          <w:rFonts w:ascii="Calibri" w:hAnsi="Calibri"/>
          <w:b w:val="0"/>
          <w:i w:val="0"/>
          <w:color w:val="1A1A1A"/>
          <w:sz w:val="21"/>
        </w:rPr>
        <w:t xml:space="preserve"> tests green; tool calls proposed for review, never executed blind.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 xml:space="preserve">•  Evaluation-first delivery (job-app-helix): </w:t>
      </w:r>
      <w:r>
        <w:rPr>
          <w:rFonts w:ascii="Calibri" w:hAnsi="Calibri"/>
          <w:b/>
          <w:i w:val="0"/>
          <w:color w:val="1A1A1A"/>
          <w:sz w:val="21"/>
        </w:rPr>
        <w:t>989-test</w:t>
      </w:r>
      <w:r>
        <w:rPr>
          <w:rFonts w:ascii="Calibri" w:hAnsi="Calibri"/>
          <w:b w:val="0"/>
          <w:i w:val="0"/>
          <w:color w:val="1A1A1A"/>
          <w:sz w:val="21"/>
        </w:rPr>
        <w:t xml:space="preserve"> agent control plane; evidence state machine (nominal / recoverable / hard-no-go) with the hard-failure path exiting non-zero and CI asserting it.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Production reliability (apex-control-plane): SHA-256 transport envelopes, idempotency keys, circuit breakers, dead-letter capture; fail-closed startup.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 xml:space="preserve">•  Operate a </w:t>
      </w:r>
      <w:r>
        <w:rPr>
          <w:rFonts w:ascii="Calibri" w:hAnsi="Calibri"/>
          <w:b/>
          <w:i w:val="0"/>
          <w:color w:val="1A1A1A"/>
          <w:sz w:val="21"/>
        </w:rPr>
        <w:t>1,413-repository</w:t>
      </w:r>
      <w:r>
        <w:rPr>
          <w:rFonts w:ascii="Calibri" w:hAnsi="Calibri"/>
          <w:b w:val="0"/>
          <w:i w:val="0"/>
          <w:color w:val="1A1A1A"/>
          <w:sz w:val="21"/>
        </w:rPr>
        <w:t xml:space="preserve"> applied-AI estate — </w:t>
      </w:r>
      <w:r>
        <w:rPr>
          <w:rFonts w:ascii="Calibri" w:hAnsi="Calibri"/>
          <w:b/>
          <w:i w:val="0"/>
          <w:color w:val="1A1A1A"/>
          <w:sz w:val="21"/>
        </w:rPr>
        <w:t>65 MCP connectors</w:t>
      </w:r>
      <w:r>
        <w:rPr>
          <w:rFonts w:ascii="Calibri" w:hAnsi="Calibri"/>
          <w:b w:val="0"/>
          <w:i w:val="0"/>
          <w:color w:val="1A1A1A"/>
          <w:sz w:val="21"/>
        </w:rPr>
        <w:t xml:space="preserve"> integrated with claim tracking and idempotent automation; </w:t>
      </w:r>
      <w:r>
        <w:rPr>
          <w:rFonts w:ascii="Calibri" w:hAnsi="Calibri"/>
          <w:b/>
          <w:i w:val="0"/>
          <w:color w:val="1A1A1A"/>
          <w:sz w:val="21"/>
        </w:rPr>
        <w:t>20+ production repositories</w:t>
      </w:r>
      <w:r>
        <w:rPr>
          <w:rFonts w:ascii="Calibri" w:hAnsi="Calibri"/>
          <w:b w:val="0"/>
          <w:i w:val="0"/>
          <w:color w:val="1A1A1A"/>
          <w:sz w:val="21"/>
        </w:rPr>
        <w:t xml:space="preserve"> maintained under test and CI.</w:t>
      </w:r>
    </w:p>
    <w:p>
      <w:pPr>
        <w:tabs>
          <w:tab w:pos="10368" w:val="right"/>
        </w:tabs>
        <w:spacing w:before="120" w:after="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Chief Inspector</w:t>
      </w:r>
      <w:r>
        <w:rPr>
          <w:rFonts w:ascii="Calibri" w:hAnsi="Calibri"/>
          <w:b w:val="0"/>
          <w:i w:val="0"/>
          <w:color w:val="595959"/>
          <w:sz w:val="19"/>
        </w:rPr>
        <w:tab/>
        <w:t>2024</w:t>
      </w:r>
    </w:p>
    <w:p>
      <w:pPr>
        <w:spacing w:before="0" w:after="60" w:line="257" w:lineRule="auto"/>
        <w:jc w:val="left"/>
      </w:pPr>
      <w:r>
        <w:rPr>
          <w:rFonts w:ascii="Calibri" w:hAnsi="Calibri"/>
          <w:b w:val="0"/>
          <w:i/>
          <w:color w:val="595959"/>
          <w:sz w:val="19"/>
        </w:rPr>
        <w:t>Diamond Head Home Inspections — Honolulu, HI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Led residential inspection operations: field assessments, defect documentation, and client reporting — direct customer-facing technical work with non-technical stakeholders.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EDUCATION</w:t>
      </w:r>
    </w:p>
    <w:p>
      <w:pPr>
        <w:tabs>
          <w:tab w:pos="10368" w:val="right"/>
        </w:tabs>
        <w:spacing w:before="100" w:after="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University of Hawaii at Manoa</w:t>
      </w:r>
      <w:r>
        <w:rPr>
          <w:rFonts w:ascii="Calibri" w:hAnsi="Calibri"/>
          <w:b w:val="0"/>
          <w:i w:val="0"/>
          <w:color w:val="595959"/>
          <w:sz w:val="19"/>
        </w:rPr>
        <w:tab/>
        <w:t>2016</w:t>
      </w:r>
    </w:p>
    <w:p>
      <w:pPr>
        <w:spacing w:before="0" w:after="40" w:line="257" w:lineRule="auto"/>
        <w:jc w:val="left"/>
      </w:pPr>
      <w:r>
        <w:rPr>
          <w:rFonts w:ascii="Calibri" w:hAnsi="Calibri"/>
          <w:b w:val="0"/>
          <w:i/>
          <w:color w:val="595959"/>
          <w:sz w:val="19"/>
        </w:rPr>
        <w:t>Bachelor of Science</w:t>
      </w:r>
    </w:p>
    <w:p>
      <w:pPr>
        <w:tabs>
          <w:tab w:pos="10368" w:val="right"/>
        </w:tabs>
        <w:spacing w:before="100" w:after="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AWS Cloud Institute</w:t>
      </w:r>
      <w:r>
        <w:rPr>
          <w:rFonts w:ascii="Calibri" w:hAnsi="Calibri"/>
          <w:b w:val="0"/>
          <w:i w:val="0"/>
          <w:color w:val="595959"/>
          <w:sz w:val="19"/>
        </w:rPr>
        <w:tab/>
        <w:t>2025</w:t>
      </w:r>
    </w:p>
    <w:p>
      <w:pPr>
        <w:spacing w:before="0" w:after="40" w:line="257" w:lineRule="auto"/>
        <w:jc w:val="left"/>
      </w:pPr>
      <w:r>
        <w:rPr>
          <w:rFonts w:ascii="Calibri" w:hAnsi="Calibri"/>
          <w:b w:val="0"/>
          <w:i/>
          <w:color w:val="595959"/>
          <w:sz w:val="19"/>
        </w:rPr>
        <w:t>Cloud Computing program (brief attendance)</w:t>
      </w:r>
    </w:p>
    <w:p>
      <w:pPr>
        <w:tabs>
          <w:tab w:pos="10368" w:val="right"/>
        </w:tabs>
        <w:spacing w:before="100" w:after="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Colorado State University</w:t>
      </w:r>
    </w:p>
    <w:p>
      <w:pPr>
        <w:spacing w:before="0" w:after="40" w:line="257" w:lineRule="auto"/>
        <w:jc w:val="left"/>
      </w:pPr>
      <w:r>
        <w:rPr>
          <w:rFonts w:ascii="Calibri" w:hAnsi="Calibri"/>
          <w:b w:val="0"/>
          <w:i/>
          <w:color w:val="595959"/>
          <w:sz w:val="19"/>
        </w:rPr>
        <w:t>Undergraduate coursework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SELECTED PROOF</w:t>
      </w:r>
    </w:p>
    <w:p>
      <w:pPr>
        <w:spacing w:before="120" w:after="2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Job-App Helix — attributable campaign engine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 xml:space="preserve">•  Composes assessments into campaign-level </w:t>
      </w:r>
      <w:r>
        <w:rPr>
          <w:rFonts w:ascii="Calibri" w:hAnsi="Calibri"/>
          <w:b/>
          <w:i w:val="0"/>
          <w:color w:val="1A1A1A"/>
          <w:sz w:val="21"/>
        </w:rPr>
        <w:t>GO / NO-GO</w:t>
      </w:r>
      <w:r>
        <w:rPr>
          <w:rFonts w:ascii="Calibri" w:hAnsi="Calibri"/>
          <w:b w:val="0"/>
          <w:i w:val="0"/>
          <w:color w:val="1A1A1A"/>
          <w:sz w:val="21"/>
        </w:rPr>
        <w:t xml:space="preserve"> with immutable evidence models, stable finding codes, and fail-closed decisions.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Recovery restricted to contingency evidence declared before reassessment — the engine never silently tunes values until they pass.</w:t>
      </w:r>
    </w:p>
    <w:p>
      <w:pPr>
        <w:spacing w:before="120" w:after="2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GlacierEQ estate — agent systems portfolio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Durable patterns for claim tracking, evidence boundaries, audit receipts, and human-in-the-loop control across the full estate.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Connects multiple technical surfaces — agents, APIs, databases, cloud — into one coherent, verifiable working system.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SKILLS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Languages: </w:t>
      </w:r>
      <w:r>
        <w:rPr>
          <w:rFonts w:ascii="Calibri" w:hAnsi="Calibri"/>
          <w:b w:val="0"/>
          <w:i w:val="0"/>
          <w:color w:val="1A1A1A"/>
          <w:sz w:val="21"/>
        </w:rPr>
        <w:t>Python · TypeScript · SQL · Bash · JavaScript / Node.js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AI / Agents: </w:t>
      </w:r>
      <w:r>
        <w:rPr>
          <w:rFonts w:ascii="Calibri" w:hAnsi="Calibri"/>
          <w:b w:val="0"/>
          <w:i w:val="0"/>
          <w:color w:val="1A1A1A"/>
          <w:sz w:val="21"/>
        </w:rPr>
        <w:t>multi-agent orchestration · RAG · LLM evaluation · prompt &amp; context engineering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Data &amp; Infra: </w:t>
      </w:r>
      <w:r>
        <w:rPr>
          <w:rFonts w:ascii="Calibri" w:hAnsi="Calibri"/>
          <w:b w:val="0"/>
          <w:i w:val="0"/>
          <w:color w:val="1A1A1A"/>
          <w:sz w:val="21"/>
        </w:rPr>
        <w:t>Supabase · Postgres · Vercel · GitHub Actions · REST APIs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Practice: </w:t>
      </w:r>
      <w:r>
        <w:rPr>
          <w:rFonts w:ascii="Calibri" w:hAnsi="Calibri"/>
          <w:b w:val="0"/>
          <w:i w:val="0"/>
          <w:color w:val="1A1A1A"/>
          <w:sz w:val="21"/>
        </w:rPr>
        <w:t>verification gates · audit receipts · idempotent automation · clear human-facing documentation</w:t>
      </w:r>
    </w:p>
    <w:p>
      <w:pPr>
        <w:spacing w:before="200" w:after="0" w:line="257" w:lineRule="auto"/>
        <w:jc w:val="left"/>
      </w:pPr>
      <w:r>
        <w:rPr>
          <w:rFonts w:ascii="Calibri" w:hAnsi="Calibri"/>
          <w:b w:val="0"/>
          <w:i/>
          <w:color w:val="595959"/>
          <w:sz w:val="17"/>
        </w:rPr>
        <w:t>Evidence boundary: portfolio repositories are independent work. Domain-inspired demonstrations are not claims of company affiliation, production deployment, or certification. No Databricks-platform or Apache Spark production depth claimed.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