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Applied AI engineer in Honolulu. I build, tune, and evaluate AI products that have to earn trust in production: define what good looks like first, put guardrails and human-in-the-loop control around the risky parts, test the failure modes on purpose, and ship only what the eval harness signs off on.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Three years running an evidence-grade agent platform: LLM evaluation harnesses and verification gates, safety guardrails, fail-closed recovery, A/B-tested prompt and configuration tuning validated before anything ships, performance monitoring, staff-level platform ownership across integrations and data surfaces. Remote-first.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Node.js · SQL · Bash · REST APIs · webhooks · Supabase · Postgres · Vercel · GitHub Actions (CI/CD) · containers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Eval &amp; Reliability: </w:t>
      </w:r>
      <w:r>
        <w:rPr>
          <w:rFonts w:ascii="Calibri" w:hAnsi="Calibri"/>
          <w:b w:val="0"/>
          <w:i w:val="0"/>
          <w:color w:val="1A1A1A"/>
          <w:sz w:val="21"/>
        </w:rPr>
        <w:t>LLM evaluation harnesses · offline/online experiment design · A/B testing · safety guardrails · human-in-the-loop control · failure-mode &amp; reliability testing · verification gates · audit receipts · fail-closed recovery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Build: </w:t>
      </w:r>
      <w:r>
        <w:rPr>
          <w:rFonts w:ascii="Calibri" w:hAnsi="Calibri"/>
          <w:b w:val="0"/>
          <w:i w:val="0"/>
          <w:color w:val="1A1A1A"/>
          <w:sz w:val="21"/>
        </w:rPr>
        <w:t>LLM agent frameworks · function calling · RAG · prompt &amp; context engineering · MCP protocol · LLM tuning via prompt/config optimization · performance monitoring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Build, tune, and evaluate AI products across a </w:t>
      </w:r>
      <w:r>
        <w:rPr>
          <w:rFonts w:ascii="Calibri" w:hAnsi="Calibri"/>
          <w:b/>
          <w:i w:val="0"/>
          <w:color w:val="1A1A1A"/>
          <w:sz w:val="21"/>
        </w:rPr>
        <w:t>1,413-repository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platform: evaluation harnesses and verification gates gate every ship — nothing reaches production without an offline eval pass and a green verification check.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Safety guardrails and human-in-the-loop control on every consequential agent action: typed state transitions, approval gates, audit receipts, recoverable runs — the guardrail pattern this role's safety questions describe.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Failure-mode and reliability testing as standing practice: failure-injection recovery drills, idempotent resumable runs, per-failure root-cause quarantine — </w:t>
      </w:r>
      <w:r>
        <w:rPr>
          <w:rFonts w:ascii="Calibri" w:hAnsi="Calibri"/>
          <w:b/>
          <w:i w:val="0"/>
          <w:color w:val="1A1A1A"/>
          <w:sz w:val="21"/>
        </w:rPr>
        <w:t>fail-closed</w:t>
      </w:r>
      <w:r>
        <w:rPr>
          <w:rFonts w:ascii="Calibri" w:hAnsi="Calibri"/>
          <w:b w:val="0"/>
          <w:i w:val="0"/>
          <w:color w:val="1A1A1A"/>
          <w:sz w:val="21"/>
        </w:rPr>
        <w:t xml:space="preserve"> behavior verified, not assumed.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Tune LLM agents via prompt and configuration optimization validated by eval before ship: A/B-tested tuning cycles against held-out checks, configuration deltas tracked with experiment records.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Performance monitoring with A/B testing across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control plane —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green; ship/no-ship decisions made from measured outcomes, not instinct.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Integrate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 plus APIs, webhooks, and data pipelines across customer and product surfaces — the integration surface that feeds eval, monitoring, and product analytics.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attributable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Composes assessments into campaign-level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immutable evidence models, stable finding codes, and fail-closed decisions.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Recovery restricted to contingency evidence declared before reassessment — the engine never silently tunes values until they pass.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agent systems portfolio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Connects multiple technical surfaces — agents, APIs, databases — into one coherent, verifiable working system.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Eval &amp; Reliability: </w:t>
      </w:r>
      <w:r>
        <w:rPr>
          <w:rFonts w:ascii="Calibri" w:hAnsi="Calibri"/>
          <w:b w:val="0"/>
          <w:i w:val="0"/>
          <w:color w:val="1A1A1A"/>
          <w:sz w:val="21"/>
        </w:rPr>
        <w:t>LLM evaluation harnesses · A/B testing · safety guardrails · human-in-the-loop control · failure-mode &amp; reliability testing · verification gates · fail-closed recovery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Build: </w:t>
      </w:r>
      <w:r>
        <w:rPr>
          <w:rFonts w:ascii="Calibri" w:hAnsi="Calibri"/>
          <w:b w:val="0"/>
          <w:i w:val="0"/>
          <w:color w:val="1A1A1A"/>
          <w:sz w:val="21"/>
        </w:rPr>
        <w:t>LLM agent frameworks · function calling · RAG · MCP protocol · prompt &amp; context engineering · LLM tuning via prompt/config optimization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Data &amp; Infra: </w:t>
      </w:r>
      <w:r>
        <w:rPr>
          <w:rFonts w:ascii="Calibri" w:hAnsi="Calibri"/>
          <w:b w:val="0"/>
          <w:i w:val="0"/>
          <w:color w:val="1A1A1A"/>
          <w:sz w:val="21"/>
        </w:rPr>
        <w:t>Supabase · Postgres · SQL · REST APIs · webhooks · Vercel · GitHub Actions · containers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Practice: </w:t>
      </w:r>
      <w:r>
        <w:rPr>
          <w:rFonts w:ascii="Calibri" w:hAnsi="Calibri"/>
          <w:b w:val="0"/>
          <w:i w:val="0"/>
          <w:color w:val="1A1A1A"/>
          <w:sz w:val="21"/>
        </w:rPr>
        <w:t>experiment design · performance monitoring · audit receipts · idempotent automation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