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Forward-deployed AI systems engineer based in Honolulu. I embed with the teams whose workflows I'm deploying — scope the ambiguous process, build the narrow proof, harden what carries load — then feed what the deployment taught me back into the platform.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control plane: governed GenAI/agent systems with explicit evaluation gates, policy enforcement and approval gates on consequential actions, AI observability (usage, behavior, and failure patterns), MCP-style platform integrations, durable multi-agent workflows with recovery runbooks. What JetBrains Central asks FDEs to deliver in enterprise environments is what I already engineer into every release.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webhooks · Supabase · Postgres · Vercel · GitHub Actions (CI/CD)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LLM agent frameworks · function calling · RAG · prompt &amp; context engineering · MCP protocol · durable multi-agent workflows · gold sets &amp; eval harnesses · LLM-as-judge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Governance &amp; Observability: </w:t>
      </w:r>
      <w:r>
        <w:rPr>
          <w:rFonts w:ascii="Calibri" w:hAnsi="Calibri"/>
          <w:b w:val="0"/>
          <w:i w:val="0"/>
          <w:color w:val="1A1A1A"/>
          <w:sz w:val="21"/>
        </w:rPr>
        <w:t>evaluation with explicit release thresholds · usage metering &amp; audit receipts · error taxonomies · failure analysis &amp; root-cause quarantine · policy enforcement · approval gates on consequential actions · access-gated operations · observability/SLOs · rollback &amp; recovery runbooks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Deployment: </w:t>
      </w:r>
      <w:r>
        <w:rPr>
          <w:rFonts w:ascii="Calibri" w:hAnsi="Calibri"/>
          <w:b w:val="0"/>
          <w:i w:val="0"/>
          <w:color w:val="1A1A1A"/>
          <w:sz w:val="21"/>
        </w:rPr>
        <w:t>demos &amp; POCs · scoped implementations · milestones &amp; implementation plans · delivery frameworks · end-to-end coordination · deployment → platform feedback loops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Deploy agent systems from ad-hoc experimentation into governed production: develop, configure, deploy, and optimize GenAI/RAG/agent systems across a </w:t>
      </w:r>
      <w:r>
        <w:rPr>
          <w:rFonts w:ascii="Calibri" w:hAnsi="Calibri"/>
          <w:b/>
          <w:i w:val="0"/>
          <w:color w:val="1A1A1A"/>
          <w:sz w:val="21"/>
        </w:rPr>
        <w:t>1,398-repository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platform (live-verified 2026-10-19; re-verify before any submit — the estate is actively written to) — agent governance, MCP-style integrations, context externalization, document workflows.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Evaluation gates every release: the document forge fails closed — any number not on the candidate kit-number allowlist raises </w:t>
      </w:r>
      <w:r>
        <w:rPr>
          <w:rFonts w:ascii="Calibri" w:hAnsi="Calibri"/>
          <w:b/>
          <w:i w:val="0"/>
          <w:color w:val="1A1A1A"/>
          <w:sz w:val="21"/>
        </w:rPr>
        <w:t>HonestyError</w:t>
      </w:r>
      <w:r>
        <w:rPr>
          <w:rFonts w:ascii="Calibri" w:hAnsi="Calibri"/>
          <w:b w:val="0"/>
          <w:i w:val="0"/>
          <w:color w:val="1A1A1A"/>
          <w:sz w:val="21"/>
        </w:rPr>
        <w:t xml:space="preserve"> instead of rendering; the campaign engine composes assessments into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 and stable finding codes. Governance is engineered into the build, not documented around it.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Run eval harnesses with gold sets and LLM-as-judge (local Mistral API, live-verified 2026-10-06) over retrieval, tool use, and multi-step agent behavior; error taxonomies and per-run failure analysis feed prompt and configuration tuning validated before anything ships.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AI observability by default: structured logs, task IDs, correlation IDs, retry counts, success/failure metrics — planned / started / succeeded / failed / verified distinguished on every run; every run emits audit receipts with claim tracking and evidence boundaries.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Policy enforcement on consequential actions: approval gates with typed state transitions and recoverable runs; recovery restricted to contingency evidence declared before reassessment — the engine never silently tunes values until they pass.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Integrated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plus APIs, webhooks, and data pipelines — typed schemas, claim tracking, evidence boundaries, idempotent automation (lineage 2026-10-08–13; re-verify before any submit). This is the developer-platform and integration surface an FDE owns on the customer side.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multi-agent workflows: planning with typed handoff contracts, memory across runs, error recovery with root-cause quarantine, human-in-the-loop escalation — the recoverable agent execution pattern that enterprise deployments need underneath.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Failure recovery with receipts: the stranded-files move worker moved </w:t>
      </w:r>
      <w:r>
        <w:rPr>
          <w:rFonts w:ascii="Calibri" w:hAnsi="Calibri"/>
          <w:b/>
          <w:i w:val="0"/>
          <w:color w:val="1A1A1A"/>
          <w:sz w:val="21"/>
        </w:rPr>
        <w:t>6,000+ files</w:t>
      </w:r>
      <w:r>
        <w:rPr>
          <w:rFonts w:ascii="Calibri" w:hAnsi="Calibri"/>
          <w:b w:val="0"/>
          <w:i w:val="0"/>
          <w:color w:val="1A1A1A"/>
          <w:sz w:val="21"/>
        </w:rPr>
        <w:t xml:space="preserve"> Dropbox → Google Drive with md5+size verification per file and per-file root-cause quarantine — quarantined items are analyzed by cause, not retried blindly; nothing deleted from source; idempotent JSONL ledger resume.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Embed with the operators whose workflows I'm automating: demos and proof-of-concepts, technical requirements, milestones and implementation plans, end-to-end coordination — then harden what the deployment taught me into platform capabilities. The delivery → product feedback loop the FDE role exists for.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GlacierEQ estate — governed agent platform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Durable patterns for claim tracking, evidence boundaries, audit receipts, and human-in-the-loop control across the full estate.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Eval harnesses with gold sets and LLM-as-judge, adversarial review, and the fail-closed honesty gate — governance is engineered, not documented.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LLM agent frameworks · function calling · RAG · MCP protocol · durable multi-agent workflows · LLM evaluation · prompt &amp; context engineering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webhooks · containers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demos &amp; POCs · eval gates · error taxonomies · failure analysis · observability/SLOs · audit receipts · idempotent automation · recovery runbooks · delivery frameworks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deployment, or certification. No enterprise-scale FDE/consulting engagements, no SOC2/FedRAMP/HIPAA delivery experience, no ex-Principal/ex-Staff/ex-CTO corporate history — the transferable practice is evidence discipline: hash receipts, provenance envelopes, audit trails, fail-closed governance. Java: not on the stack; Python is the working language. Estate counts carried from the most recent verified pack lineage (2026-10-19) — re-verify before any submit; the estate drifts.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