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own the production journey: lead AI workloads from proof-of-concept to production — deployed, stable, scalable — and drive time-to-production and time-to-value with customer engineering teams. The Token Factory motion (engineering × delivery × customer success) is my operating pattern: understand the customer's architecture and use cases, monitor and improve latency, throughput, cost, and reliability, resolve bottlenecks before they become incidents, and translate field evidence into structured product feedback.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as a founder running an evidence-grade agent control plane from Honolulu: per-task latency and token-cost instrumentation on every run; failure-injection recovery and fail-closed gates as production discipline;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with typed contracts behind every tool boundary; structured feedback loops from field evidence to product iteration. Python primary, pragmatic polyglot, calm under incident pressure.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Customer delivery: </w:t>
      </w:r>
      <w:r>
        <w:rPr>
          <w:rFonts w:ascii="Calibri" w:hAnsi="Calibri"/>
          <w:b w:val="0"/>
          <w:i w:val="0"/>
          <w:color w:val="1A1A1A"/>
          <w:sz w:val="21"/>
        </w:rPr>
        <w:t>PoC → production transition ownership · customer architecture assessment · latency / throughput / cost / reliability optimization · bottleneck identification · incident management posture · technical-customer communication · structured product feedback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production systems: </w:t>
      </w:r>
      <w:r>
        <w:rPr>
          <w:rFonts w:ascii="Calibri" w:hAnsi="Calibri"/>
          <w:b w:val="0"/>
          <w:i w:val="0"/>
          <w:color w:val="1A1A1A"/>
          <w:sz w:val="21"/>
        </w:rPr>
        <w:t>inference-pipeline integration (client side) · AI workload evaluation · eval regression gates · behavioral assertions · golden datasets · trace intelligence · MCP servers &amp; connectors · function calling · structured outputs · guardrails · fail-closed recovery · failure-injection testing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/ JavaScript · SQL · Bash · REST APIs · GitHub Actions (CI/CD) · Postgres · JSON Schema / Pydantic-style validation · retry logic · observability &amp; run logging · per-task latency &amp; token-cost instrumentation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the production journey: lead AI workloads from proof-of-concept to production — deployed, stable, scalable — and drive time-to-production and time-to-value with the teams that operate them.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Ensure technical success in production: per-task latency and token-cost instrumentation on every run; trace intelligence naming the slowest calls, redundant tool use, and expensive segments; bottlenecks identified and resolved before they become incidents.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Act as a trusted technical partner: work directly with technical counterparts, understand their architectures and use cases, provide guidance on best practices and optimization — and translate technical challenges into actionable solutions, clearly, under pressure.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Manage risks and incidents like production work: fail-closed gates, behavioral assertions, recovery restricted to evidence declared before reassessment — calm communication and documented resolution paths when it matters.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Drive continuous improvement: structured feedback from field evidence to product iteration — identify opportunities to optimize and expand usage, shape better solutions from real needs.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typed handoff contracts, guardrails, human approval gates on consequential actions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— the production-journey discipline: prove it works, then ship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Field-to-product feedback loop in practice: trace and run evidence feeding configuration iteration — the structured feedback Token Factory runs on.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Inference-pipeline integration, honestly bounded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Integration-side experience with inference pipelines (fal.ai + Whisper pipeline, estate-verified) — client-side integration, eval-gated, not GPU-infrastructure operations.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Eval/trace engineering is the transferable production muscle: measure latency, cost, quality; gate on evidence; recover by design.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/ JavaScript · SQL · Bash ·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production: </w:t>
      </w:r>
      <w:r>
        <w:rPr>
          <w:rFonts w:ascii="Calibri" w:hAnsi="Calibri"/>
          <w:b w:val="0"/>
          <w:i w:val="0"/>
          <w:color w:val="1A1A1A"/>
          <w:sz w:val="21"/>
        </w:rPr>
        <w:t>PoC → production ownership · inference-pipeline integration · eval regression gates · behavioral assertions · trace intelligence · latency/cost optimization · failure-injection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Customer engineering: </w:t>
      </w:r>
      <w:r>
        <w:rPr>
          <w:rFonts w:ascii="Calibri" w:hAnsi="Calibri"/>
          <w:b w:val="0"/>
          <w:i w:val="0"/>
          <w:color w:val="1A1A1A"/>
          <w:sz w:val="21"/>
        </w:rPr>
        <w:t>technical-customer delivery · incident communication · cross-team coordination · structured product feedback · handover discipline · technical writing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Integration: </w:t>
      </w:r>
      <w:r>
        <w:rPr>
          <w:rFonts w:ascii="Calibri" w:hAnsi="Calibri"/>
          <w:b w:val="0"/>
          <w:i w:val="0"/>
          <w:color w:val="1A1A1A"/>
          <w:sz w:val="21"/>
        </w:rPr>
        <w:t>MCP servers &amp; connectors · REST APIs · function calling · structured outputs · JSON Schema validation · guardrails · observability &amp; run logging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GPU-infrastructure, neocloud-operations, vLLM/TensorRT-production, or Kubernetes depth claimed — inference-framework knowledge is transferable (integration-side, eval/trace engineering). Customer-facing depth is founder/operator (three years), not enterprise accounts. No Nebius-internal claims.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