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the evaluation harness before I build the feature — for non-deterministic systems, 'it looked good in testing' is not an answer. I define what working means, instrument it, and let the evals drive the design. Fail-closed by default: guardrails live in the orchestration layer, and the defined 'what happens when it's unsure' path is halt-and-escalate, never guess.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as a founder running an evidence-grade agent control plane from Honolulu: hand-rolled multi-agent loops with function calling, structured outputs, typed handoff contracts, retrieval over my own estate, and 65 MCP connectors — embedded-style delivery, measured against written outcomes before deployment.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webhooks · containers · GitHub Actions (CI/CD) · Supabase · Postgres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replay loops · guardrails · failure-mode analysis · hand-rolled multi-agent loops · function calling · structured outputs · structured extraction · RAG · prompt &amp; context engineering · MCP protocol · human-in-the-loop control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Deployment: </w:t>
      </w:r>
      <w:r>
        <w:rPr>
          <w:rFonts w:ascii="Calibri" w:hAnsi="Calibri"/>
          <w:b w:val="0"/>
          <w:i w:val="0"/>
          <w:color w:val="1A1A1A"/>
          <w:sz w:val="21"/>
        </w:rPr>
        <w:t>embedded delivery (scope with operators, prove end to end, hand over something they can run) · demos &amp; POCs · monitoring &amp; observability · latency &amp; token-cost benchmarks · verification gates · audit receipts · idempotent automation · evidence boundaries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Build the evaluation harness before the feature: prompt and configuration changes validated by eval harnesses with replay loops before anything touches production — I define what working means, instrument it, and let the evals drive the design.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Reason about failure modes explicitly: guardrails in the orchestration layer — typed state transitions, approval gates on consequential actions, fail-closed recovery; 'cannot determine' is a first-class answer, not a guess.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Ship structured extraction and retrieval pipelines across a </w:t>
      </w:r>
      <w:r>
        <w:rPr>
          <w:rFonts w:ascii="Calibri" w:hAnsi="Calibri"/>
          <w:b/>
          <w:i w:val="0"/>
          <w:color w:val="1A1A1A"/>
          <w:sz w:val="21"/>
        </w:rPr>
        <w:t>1,413-repository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 — structured facts out of messy documents, deterministic checks gating sensitive operations.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Ship production GenAI systems with structured outputs, function calling with typed tool schemas, and retrieval-augmented generation,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control plane —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APIs, webhooks, and data pipelines into environments I don't own — evidence boundaries and audit receipts built for client-cloud compliance regimes.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outcomes against a written measurement story: KPIs, baselines, and instrumentation agreed before deployment — then deliver against them.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 — into one coherent, verifiable working system.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LLM evaluation harnesses · replay loops · guardrails · hand-rolled multi-agent loops · function calling · structured outputs · structured extraction · RAG · MCP protocol · typed handoff contracts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Delivery: </w:t>
      </w:r>
      <w:r>
        <w:rPr>
          <w:rFonts w:ascii="Calibri" w:hAnsi="Calibri"/>
          <w:b w:val="0"/>
          <w:i w:val="0"/>
          <w:color w:val="1A1A1A"/>
          <w:sz w:val="21"/>
        </w:rPr>
        <w:t>embedded delivery · demos &amp; POCs · monitoring &amp; observability · latency &amp; token-cost benchmarks · verification gates · audit receipts · idempotent automation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