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Forward-deployed AI systems builder based in Honolulu. I embed on ambiguous, high-stakes workflows and ship production-grade agent systems end to end — scoping with operators, building the narrow proof, hardening what carries load.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control plane: inspectable state, bounded tool actions, approval gates, recoverable runs. No active clearance; eligible for sponsorship. Open to travel; not relocating off-island.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MCP protocol · multi-agent orchestration · LLM evaluation harnesses · prompt &amp; context engineering · human-in-the-loop control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Deployment: </w:t>
      </w:r>
      <w:r>
        <w:rPr>
          <w:rFonts w:ascii="Calibri" w:hAnsi="Calibri"/>
          <w:b w:val="0"/>
          <w:i w:val="0"/>
          <w:color w:val="1A1A1A"/>
          <w:sz w:val="21"/>
        </w:rPr>
        <w:t>end-to-end delivery · operator-embedded scoping · verification gates · audit receipts · idempotent automation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Ship production-grade agent systems end to end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platform: agent governance, MCP integrations, context externalization, document workflows, infrastructure modeling.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 — typed state transitions, approval gates, recoverable runs — with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Embedded-style delivery: map the operator's workflow, build the narrow end-to-end proof, then deepen the components that carry real load.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Integrated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claim tracking, evidence boundaries, and idempotent automation.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Shipped an attributable intelligence pipeline across 4 ATS providers with immutable evidence models and JSON proof receipts — built like a deployment, not a demo.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Chief Inspector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Diamond Head Home Inspections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Led residential inspection operations: field assessments, defect documentation, and client reporting.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databases, cloud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MCP protocol · multi-agent orchestration · LLM evaluation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verification gates · audit receipts · idempotent automation · clear human-facing documentation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