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I build the trust machinery behind every system I ship: eval harnesses with replay loops that validate prompt and configuration changes before anything touches production, guardrails with typed state transitions and approval gates on consequential actions, per-run monitoring — and a defined 'what happens when it's unsure' path: the agent halts and escalates, never guesses. Fail-closed by default.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Three years operating an evidence-grade agent control plane from Honolulu: hand-rolled multi-agent loops with function calling, structured outputs, typed handoff contracts, retrieval over my own estate, and 65 MCP connectors — delivered with audit receipts and evidence boundaries. Remote-first; client-embedded.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Engineering: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Node.js · SQL · Bash · REST APIs · webhooks · Supabase · Postgres · Vercel · GitHub Actions (CI/CD) · containers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Agents: </w:t>
      </w:r>
      <w:r>
        <w:rPr>
          <w:rFonts w:ascii="Calibri" w:hAnsi="Calibri"/>
          <w:b w:val="0"/>
          <w:i w:val="0"/>
          <w:color w:val="1A1A1A"/>
          <w:sz w:val="21"/>
        </w:rPr>
        <w:t>LLM evaluation harnesses · replay loops · guardrails · fail-closed recovery · LLM agent frameworks (hand-rolled multi-agent loops) · function calling · structured outputs · RAG · typed handoff contracts · prompt &amp; context engineering · MCP protocol · human-in-the-loop control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Deployment: </w:t>
      </w:r>
      <w:r>
        <w:rPr>
          <w:rFonts w:ascii="Calibri" w:hAnsi="Calibri"/>
          <w:b w:val="0"/>
          <w:i w:val="0"/>
          <w:color w:val="1A1A1A"/>
          <w:sz w:val="21"/>
        </w:rPr>
        <w:t>client-embedded scoping · demos &amp; POCs · monitoring &amp; observability · latency &amp; token-cost benchmarks · verification gates · audit receipts · idempotent automation · evidence boundaries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Run an eval-harness discipline on every agent shipped: prompt and configuration changes validated by eval harnesses with replay loops before anything touches production — an eval loop defensible to a skeptic.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Build guardrails into the orchestration layer: typed state transitions, approval gates on consequential actions, and fail-closed recovery — the defined 'what happens when it's unsure' path is halt-and-escalate, never guess.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Monitor every run: per-task latency instrumentation, failure tracking, performance monitoring with A/B testing — no agent completion claim without independent readback.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Track latency and token cost per agent run as first-class benchmarks — measured, logged, and priced into the eval discipline rather than discovered in production.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Ship structured outputs, function calling with typed tool schemas, and retrieval-augmented generation over the estate across a </w:t>
      </w:r>
      <w:r>
        <w:rPr>
          <w:rFonts w:ascii="Calibri" w:hAnsi="Calibri"/>
          <w:b/>
          <w:i w:val="0"/>
          <w:color w:val="1A1A1A"/>
          <w:sz w:val="21"/>
        </w:rPr>
        <w:t>1,395-repository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platform with a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control plane — </w:t>
      </w:r>
      <w:r>
        <w:rPr>
          <w:rFonts w:ascii="Calibri" w:hAnsi="Calibri"/>
          <w:b/>
          <w:i w:val="0"/>
          <w:color w:val="1A1A1A"/>
          <w:sz w:val="21"/>
        </w:rPr>
        <w:t>62/62</w:t>
      </w:r>
      <w:r>
        <w:rPr>
          <w:rFonts w:ascii="Calibri" w:hAnsi="Calibri"/>
          <w:b w:val="0"/>
          <w:i w:val="0"/>
          <w:color w:val="1A1A1A"/>
          <w:sz w:val="21"/>
        </w:rPr>
        <w:t xml:space="preserve"> verification checks green.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Integrate </w:t>
      </w:r>
      <w:r>
        <w:rPr>
          <w:rFonts w:ascii="Calibri" w:hAnsi="Calibri"/>
          <w:b/>
          <w:i w:val="0"/>
          <w:color w:val="1A1A1A"/>
          <w:sz w:val="21"/>
        </w:rPr>
        <w:t>65 MCP connectors</w:t>
      </w:r>
      <w:r>
        <w:rPr>
          <w:rFonts w:ascii="Calibri" w:hAnsi="Calibri"/>
          <w:b w:val="0"/>
          <w:i w:val="0"/>
          <w:color w:val="1A1A1A"/>
          <w:sz w:val="21"/>
        </w:rPr>
        <w:t xml:space="preserve"> plus APIs, webhooks, and data pipelines into environments I don't own — evidence boundaries and audit receipts built for client-cloud compliance regimes.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attributable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Composes assessments into campaign-level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immutable evidence models, stable finding codes, and fail-closed decisions.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Recovery restricted to contingency evidence declared before reassessment — the engine never silently tunes values until they pass.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GlacierEQ estate — agent systems portfolio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Durable patterns for claim tracking, evidence boundaries, audit receipts, and human-in-the-loop control across the full estate.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Connects multiple technical surfaces — agents, APIs, databases — into one coherent, verifiable working system.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/ Agents: </w:t>
      </w:r>
      <w:r>
        <w:rPr>
          <w:rFonts w:ascii="Calibri" w:hAnsi="Calibri"/>
          <w:b w:val="0"/>
          <w:i w:val="0"/>
          <w:color w:val="1A1A1A"/>
          <w:sz w:val="21"/>
        </w:rPr>
        <w:t>LLM evaluation harnesses · replay loops · guardrails · hand-rolled multi-agent loops · function calling · structured outputs · RAG · MCP protocol · typed handoff contracts · prompt &amp; context engineering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Data &amp; Infra: </w:t>
      </w:r>
      <w:r>
        <w:rPr>
          <w:rFonts w:ascii="Calibri" w:hAnsi="Calibri"/>
          <w:b w:val="0"/>
          <w:i w:val="0"/>
          <w:color w:val="1A1A1A"/>
          <w:sz w:val="21"/>
        </w:rPr>
        <w:t>Supabase · Postgres · Vercel · GitHub Actions · REST APIs · webhooks · containers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Practice: </w:t>
      </w:r>
      <w:r>
        <w:rPr>
          <w:rFonts w:ascii="Calibri" w:hAnsi="Calibri"/>
          <w:b w:val="0"/>
          <w:i w:val="0"/>
          <w:color w:val="1A1A1A"/>
          <w:sz w:val="21"/>
        </w:rPr>
        <w:t>client-embedded delivery · demos &amp; POCs · monitoring &amp; observability · latency &amp; token-cost benchmarks · verification gates · audit receipts · idempotent automation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Domain-inspired demonstrations are not claims of company affiliation, production deployment, or certification.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