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57" w:lineRule="auto"/>
        <w:jc w:val="center"/>
      </w:pPr>
      <w:r>
        <w:rPr>
          <w:rFonts w:ascii="Calibri Light" w:hAnsi="Calibri Light"/>
          <w:b/>
          <w:color w:val="0E5F6B"/>
          <w:sz w:val="50"/>
        </w:rPr>
        <w:t>Casey Barton</w:t>
      </w:r>
    </w:p>
    <w:p>
      <w:pPr>
        <w:spacing w:before="0" w:after="120" w:line="257" w:lineRule="auto"/>
        <w:jc w:val="center"/>
        <w:pBdr>
          <w:bottom w:val="single" w:sz="12" w:space="6" w:color="0E5F6B"/>
        </w:pBdr>
      </w:pPr>
      <w:r>
        <w:rPr>
          <w:rFonts w:ascii="Calibri" w:hAnsi="Calibri"/>
          <w:b w:val="0"/>
          <w:i w:val="0"/>
          <w:color w:val="595959"/>
          <w:sz w:val="19"/>
        </w:rPr>
        <w:t>Honolulu, HI  ·  (808) 936-5654  ·  glacier.equilibrium@gmail.com  ·  github.com/GlacierEQ  ·  casey-barton-glaciereq.vercel.app</w:t>
      </w:r>
    </w:p>
    <w:p>
      <w:pPr>
        <w:spacing w:before="200" w:after="100" w:line="257" w:lineRule="auto"/>
        <w:jc w:val="left"/>
        <w:pBdr>
          <w:bottom w:val="single" w:sz="6" w:space="2" w:color="B9CFD4"/>
        </w:pBdr>
      </w:pPr>
      <w:r>
        <w:rPr>
          <w:rFonts w:ascii="Calibri" w:hAnsi="Calibri"/>
          <w:b/>
          <w:smallCaps/>
          <w:color w:val="0E5F6B"/>
          <w:sz w:val="22"/>
          <w:spacing w:val="70"/>
        </w:rPr>
        <w:t>PROFILE</w:t>
      </w:r>
    </w:p>
    <w:p>
      <w:pPr>
        <w:spacing w:before="0" w:after="60" w:line="257" w:lineRule="auto"/>
        <w:jc w:val="left"/>
      </w:pPr>
      <w:r>
        <w:rPr>
          <w:rFonts w:ascii="Calibri" w:hAnsi="Calibri"/>
          <w:b w:val="0"/>
          <w:i w:val="0"/>
          <w:color w:val="1A1A1A"/>
          <w:sz w:val="21"/>
        </w:rPr>
        <w:t>Forward-deployed AI engineer based in Honolulu — founder who builds AI agent platforms end to end. I embed with operators on ambiguous, high-stakes workflows and ship production agent systems: agent frameworks, orchestrators, MCP tool integrations, evaluation harnesses. Prototype in weeks, measure quality, productionize what carries load — with failure analysis and human-in-the-loop controls as the operating standard.</w:t>
      </w:r>
    </w:p>
    <w:p>
      <w:pPr>
        <w:spacing w:before="0" w:after="60" w:line="257" w:lineRule="auto"/>
        <w:jc w:val="left"/>
      </w:pPr>
      <w:r>
        <w:rPr>
          <w:rFonts w:ascii="Calibri" w:hAnsi="Calibri"/>
          <w:b w:val="0"/>
          <w:i w:val="0"/>
          <w:color w:val="1A1A1A"/>
          <w:sz w:val="21"/>
        </w:rPr>
        <w:t>Three years running an evidence-grade agent control plane: typed state transitions, approval gates, audit receipts, recoverable runs, structured observability — a shared platform practice: one agent framework, reusable tools, and every deployment improving the next. AI-native: shipped AI-enabled products and workflows, with evals, release thresholds, and LLM-as-judge wired into delivery. Open to regular travel (~10–20%); not relocating off-island.</w:t>
      </w:r>
    </w:p>
    <w:p>
      <w:pPr>
        <w:spacing w:before="200" w:after="100" w:line="257" w:lineRule="auto"/>
        <w:jc w:val="left"/>
        <w:pBdr>
          <w:bottom w:val="single" w:sz="6" w:space="2" w:color="B9CFD4"/>
        </w:pBdr>
      </w:pPr>
      <w:r>
        <w:rPr>
          <w:rFonts w:ascii="Calibri" w:hAnsi="Calibri"/>
          <w:b/>
          <w:smallCaps/>
          <w:color w:val="0E5F6B"/>
          <w:sz w:val="22"/>
          <w:spacing w:val="70"/>
        </w:rPr>
        <w:t>CORE COMPETENCIES</w:t>
      </w:r>
    </w:p>
    <w:p>
      <w:pPr>
        <w:spacing w:before="0" w:after="40" w:line="257" w:lineRule="auto"/>
        <w:jc w:val="left"/>
      </w:pPr>
      <w:r>
        <w:rPr>
          <w:rFonts w:ascii="Calibri" w:hAnsi="Calibri"/>
          <w:b/>
          <w:i w:val="0"/>
          <w:color w:val="1A1A1A"/>
          <w:sz w:val="21"/>
        </w:rPr>
        <w:t xml:space="preserve">Engineering: </w:t>
      </w:r>
      <w:r>
        <w:rPr>
          <w:rFonts w:ascii="Calibri" w:hAnsi="Calibri"/>
          <w:b w:val="0"/>
          <w:i w:val="0"/>
          <w:color w:val="1A1A1A"/>
          <w:sz w:val="21"/>
        </w:rPr>
        <w:t>Python · TypeScript · Node.js · SQL · Bash · REST APIs · Supabase · Postgres · Vercel · GitHub Actions (CI/CD)</w:t>
      </w:r>
    </w:p>
    <w:p>
      <w:pPr>
        <w:spacing w:before="0" w:after="40" w:line="257" w:lineRule="auto"/>
        <w:jc w:val="left"/>
      </w:pPr>
      <w:r>
        <w:rPr>
          <w:rFonts w:ascii="Calibri" w:hAnsi="Calibri"/>
          <w:b/>
          <w:i w:val="0"/>
          <w:color w:val="1A1A1A"/>
          <w:sz w:val="21"/>
        </w:rPr>
        <w:t xml:space="preserve">AI &amp; Agents: </w:t>
      </w:r>
      <w:r>
        <w:rPr>
          <w:rFonts w:ascii="Calibri" w:hAnsi="Calibri"/>
          <w:b w:val="0"/>
          <w:i w:val="0"/>
          <w:color w:val="1A1A1A"/>
          <w:sz w:val="21"/>
        </w:rPr>
        <w:t>hands-on AI agent development &amp; deployment (tool/API use, orchestration, state, failure handling) · agent frameworks on shared platforms · MCP protocol · LLM retrieval &amp; structured outputs · LLM evaluation harnesses · prompt &amp; context engineering</w:t>
      </w:r>
    </w:p>
    <w:p>
      <w:pPr>
        <w:spacing w:before="0" w:after="40" w:line="257" w:lineRule="auto"/>
        <w:jc w:val="left"/>
      </w:pPr>
      <w:r>
        <w:rPr>
          <w:rFonts w:ascii="Calibri" w:hAnsi="Calibri"/>
          <w:b/>
          <w:i w:val="0"/>
          <w:color w:val="1A1A1A"/>
          <w:sz w:val="21"/>
        </w:rPr>
        <w:t xml:space="preserve">Forward Delivery: </w:t>
      </w:r>
      <w:r>
        <w:rPr>
          <w:rFonts w:ascii="Calibri" w:hAnsi="Calibri"/>
          <w:b w:val="0"/>
          <w:i w:val="0"/>
          <w:color w:val="1A1A1A"/>
          <w:sz w:val="21"/>
        </w:rPr>
        <w:t>embedded discovery with non-technical operators · vague-problem-to-scoped-plan · pilot-in-weeks cadence · production rollout &amp; adoption · AI platform feedback loops (field gaps → platform improvements) · human-in-the-loop controls</w:t>
      </w:r>
    </w:p>
    <w:p>
      <w:pPr>
        <w:spacing w:before="200" w:after="100" w:line="257" w:lineRule="auto"/>
        <w:jc w:val="left"/>
        <w:pBdr>
          <w:bottom w:val="single" w:sz="6" w:space="2" w:color="B9CFD4"/>
        </w:pBdr>
      </w:pPr>
      <w:r>
        <w:rPr>
          <w:rFonts w:ascii="Calibri" w:hAnsi="Calibri"/>
          <w:b/>
          <w:smallCaps/>
          <w:color w:val="0E5F6B"/>
          <w:sz w:val="22"/>
          <w:spacing w:val="70"/>
        </w:rPr>
        <w:t>EXPERIENCE</w:t>
      </w:r>
    </w:p>
    <w:p>
      <w:pPr>
        <w:tabs>
          <w:tab w:pos="10368" w:val="right"/>
        </w:tabs>
        <w:spacing w:before="120" w:after="0" w:line="257" w:lineRule="auto"/>
        <w:jc w:val="left"/>
      </w:pPr>
      <w:r>
        <w:rPr>
          <w:rFonts w:ascii="Calibri" w:hAnsi="Calibri"/>
          <w:b/>
          <w:i w:val="0"/>
          <w:color w:val="1A1A1A"/>
          <w:sz w:val="21"/>
        </w:rPr>
        <w:t>Founder / Applied AI Systems Architect</w:t>
      </w:r>
      <w:r>
        <w:rPr>
          <w:rFonts w:ascii="Calibri" w:hAnsi="Calibri"/>
          <w:b w:val="0"/>
          <w:i w:val="0"/>
          <w:color w:val="595959"/>
          <w:sz w:val="19"/>
        </w:rPr>
        <w:tab/>
        <w:t>2023 – Present</w:t>
      </w:r>
    </w:p>
    <w:p>
      <w:pPr>
        <w:spacing w:before="0" w:after="60" w:line="257" w:lineRule="auto"/>
        <w:jc w:val="left"/>
      </w:pPr>
      <w:r>
        <w:rPr>
          <w:rFonts w:ascii="Calibri" w:hAnsi="Calibri"/>
          <w:b w:val="0"/>
          <w:i/>
          <w:color w:val="595959"/>
          <w:sz w:val="19"/>
        </w:rPr>
        <w:t>GlacierEQ — Honolulu, HI</w:t>
      </w:r>
    </w:p>
    <w:p>
      <w:pPr>
        <w:spacing w:before="0" w:after="40" w:line="257" w:lineRule="auto"/>
        <w:ind w:left="403" w:hanging="230"/>
        <w:jc w:val="left"/>
      </w:pPr>
      <w:r>
        <w:rPr>
          <w:rFonts w:ascii="Calibri" w:hAnsi="Calibri"/>
          <w:b w:val="0"/>
          <w:i w:val="0"/>
          <w:color w:val="1A1A1A"/>
          <w:sz w:val="21"/>
        </w:rPr>
        <w:t>•  Founder-led platform practice: DISCOVER→FRAME→BUILD→INTEGRATE→EVALUATE→PROVE→DEPLOY with evidence receipts — embed on the operator's workflow, build the narrow end-to-end proof, productionize what carries load, and compile every deployment into reusable agents, skills, connectors, and playbooks.</w:t>
      </w:r>
    </w:p>
    <w:p>
      <w:pPr>
        <w:spacing w:before="0" w:after="40" w:line="257" w:lineRule="auto"/>
        <w:ind w:left="403" w:hanging="230"/>
        <w:jc w:val="left"/>
      </w:pPr>
      <w:r>
        <w:rPr>
          <w:rFonts w:ascii="Calibri" w:hAnsi="Calibri"/>
          <w:b w:val="0"/>
          <w:i w:val="0"/>
          <w:color w:val="1A1A1A"/>
          <w:sz w:val="21"/>
        </w:rPr>
        <w:t xml:space="preserve">•  Hands-on agent framework delivery (anthropic-agent-coordinator): deterministic DAG scheduler, </w:t>
      </w:r>
      <w:r>
        <w:rPr>
          <w:rFonts w:ascii="Calibri" w:hAnsi="Calibri"/>
          <w:b/>
          <w:i w:val="0"/>
          <w:color w:val="1A1A1A"/>
          <w:sz w:val="21"/>
        </w:rPr>
        <w:t>62/62</w:t>
      </w:r>
      <w:r>
        <w:rPr>
          <w:rFonts w:ascii="Calibri" w:hAnsi="Calibri"/>
          <w:b w:val="0"/>
          <w:i w:val="0"/>
          <w:color w:val="1A1A1A"/>
          <w:sz w:val="21"/>
        </w:rPr>
        <w:t xml:space="preserve"> tests green; tool calls proposed for review, never executed blind — human-in-the-loop control built into the orchestration layer; field learnings fed back into the shared framework.</w:t>
      </w:r>
    </w:p>
    <w:p>
      <w:pPr>
        <w:spacing w:before="0" w:after="40" w:line="257" w:lineRule="auto"/>
        <w:ind w:left="403" w:hanging="230"/>
        <w:jc w:val="left"/>
      </w:pPr>
      <w:r>
        <w:rPr>
          <w:rFonts w:ascii="Calibri" w:hAnsi="Calibri"/>
          <w:b w:val="0"/>
          <w:i w:val="0"/>
          <w:color w:val="1A1A1A"/>
          <w:sz w:val="21"/>
        </w:rPr>
        <w:t xml:space="preserve">•  Shipped AI-enabled products and workflows measured by quality (job-app-helix): </w:t>
      </w:r>
      <w:r>
        <w:rPr>
          <w:rFonts w:ascii="Calibri" w:hAnsi="Calibri"/>
          <w:b/>
          <w:i w:val="0"/>
          <w:color w:val="1A1A1A"/>
          <w:sz w:val="21"/>
        </w:rPr>
        <w:t>989-test</w:t>
      </w:r>
      <w:r>
        <w:rPr>
          <w:rFonts w:ascii="Calibri" w:hAnsi="Calibri"/>
          <w:b w:val="0"/>
          <w:i w:val="0"/>
          <w:color w:val="1A1A1A"/>
          <w:sz w:val="21"/>
        </w:rPr>
        <w:t xml:space="preserve"> agent control plane; evals with explicit release thresholds, gold sets and LLM-as-judge; evidence state machine (nominal / recoverable / hard-no-go) with the hard-failure path exiting non-zero and CI asserting it.</w:t>
      </w:r>
    </w:p>
    <w:p>
      <w:pPr>
        <w:spacing w:before="0" w:after="40" w:line="257" w:lineRule="auto"/>
        <w:ind w:left="403" w:hanging="230"/>
        <w:jc w:val="left"/>
      </w:pPr>
      <w:r>
        <w:rPr>
          <w:rFonts w:ascii="Calibri" w:hAnsi="Calibri"/>
          <w:b w:val="0"/>
          <w:i w:val="0"/>
          <w:color w:val="1A1A1A"/>
          <w:sz w:val="21"/>
        </w:rPr>
        <w:t>•  Stateful retrieval and integration surface (unified-memory-mcp, mcp-iceberg-mansion): Mem0, Supermemory, Supabase pgvector, Pinecone, and Neo4j federated behind one MCP interface — parallel fan-out, content-hash dedup; LLM retrieval-grounded generation with provenance and structured outputs.</w:t>
      </w:r>
    </w:p>
    <w:p>
      <w:pPr>
        <w:spacing w:before="0" w:after="40" w:line="257" w:lineRule="auto"/>
        <w:ind w:left="403" w:hanging="230"/>
        <w:jc w:val="left"/>
      </w:pPr>
      <w:r>
        <w:rPr>
          <w:rFonts w:ascii="Calibri" w:hAnsi="Calibri"/>
          <w:b w:val="0"/>
          <w:i w:val="0"/>
          <w:color w:val="1A1A1A"/>
          <w:sz w:val="21"/>
        </w:rPr>
        <w:t>•  Reliable AI operations (apex-control-plane): cloud deployment, access controls, SHA-256 transport envelopes, idempotency keys, circuit breakers, dead-letter capture, fail-closed startup; failure analysis with root-cause quarantine instead of silent retries.</w:t>
      </w:r>
    </w:p>
    <w:p>
      <w:pPr>
        <w:spacing w:before="0" w:after="40" w:line="257" w:lineRule="auto"/>
        <w:ind w:left="403" w:hanging="230"/>
        <w:jc w:val="left"/>
      </w:pPr>
      <w:r>
        <w:rPr>
          <w:rFonts w:ascii="Calibri" w:hAnsi="Calibri"/>
          <w:b w:val="0"/>
          <w:i w:val="0"/>
          <w:color w:val="1A1A1A"/>
          <w:sz w:val="21"/>
        </w:rPr>
        <w:t xml:space="preserve">•  Operate a </w:t>
      </w:r>
      <w:r>
        <w:rPr>
          <w:rFonts w:ascii="Calibri" w:hAnsi="Calibri"/>
          <w:b/>
          <w:i w:val="0"/>
          <w:color w:val="1A1A1A"/>
          <w:sz w:val="21"/>
        </w:rPr>
        <w:t>1,395-repository</w:t>
      </w:r>
      <w:r>
        <w:rPr>
          <w:rFonts w:ascii="Calibri" w:hAnsi="Calibri"/>
          <w:b w:val="0"/>
          <w:i w:val="0"/>
          <w:color w:val="1A1A1A"/>
          <w:sz w:val="21"/>
        </w:rPr>
        <w:t xml:space="preserve"> applied-AI estate — </w:t>
      </w:r>
      <w:r>
        <w:rPr>
          <w:rFonts w:ascii="Calibri" w:hAnsi="Calibri"/>
          <w:b/>
          <w:i w:val="0"/>
          <w:color w:val="1A1A1A"/>
          <w:sz w:val="21"/>
        </w:rPr>
        <w:t>65 MCP connectors</w:t>
      </w:r>
      <w:r>
        <w:rPr>
          <w:rFonts w:ascii="Calibri" w:hAnsi="Calibri"/>
          <w:b w:val="0"/>
          <w:i w:val="0"/>
          <w:color w:val="1A1A1A"/>
          <w:sz w:val="21"/>
        </w:rPr>
        <w:t xml:space="preserve"> integrated with claim tracking and idempotent automation; </w:t>
      </w:r>
      <w:r>
        <w:rPr>
          <w:rFonts w:ascii="Calibri" w:hAnsi="Calibri"/>
          <w:b/>
          <w:i w:val="0"/>
          <w:color w:val="1A1A1A"/>
          <w:sz w:val="21"/>
        </w:rPr>
        <w:t>20+ production repositories</w:t>
      </w:r>
      <w:r>
        <w:rPr>
          <w:rFonts w:ascii="Calibri" w:hAnsi="Calibri"/>
          <w:b w:val="0"/>
          <w:i w:val="0"/>
          <w:color w:val="1A1A1A"/>
          <w:sz w:val="21"/>
        </w:rPr>
        <w:t xml:space="preserve"> maintained under test and CI; deployments measured on operator outcomes (time saved, errors cut, decisions improved).</w:t>
      </w:r>
    </w:p>
    <w:p>
      <w:pPr>
        <w:tabs>
          <w:tab w:pos="10368" w:val="right"/>
        </w:tabs>
        <w:spacing w:before="120" w:after="0" w:line="257" w:lineRule="auto"/>
        <w:jc w:val="left"/>
      </w:pPr>
      <w:r>
        <w:rPr>
          <w:rFonts w:ascii="Calibri" w:hAnsi="Calibri"/>
          <w:b/>
          <w:i w:val="0"/>
          <w:color w:val="1A1A1A"/>
          <w:sz w:val="21"/>
        </w:rPr>
        <w:t>Chief Inspector</w:t>
      </w:r>
      <w:r>
        <w:rPr>
          <w:rFonts w:ascii="Calibri" w:hAnsi="Calibri"/>
          <w:b w:val="0"/>
          <w:i w:val="0"/>
          <w:color w:val="595959"/>
          <w:sz w:val="19"/>
        </w:rPr>
        <w:tab/>
        <w:t>2024</w:t>
      </w:r>
    </w:p>
    <w:p>
      <w:pPr>
        <w:spacing w:before="0" w:after="60" w:line="257" w:lineRule="auto"/>
        <w:jc w:val="left"/>
      </w:pPr>
      <w:r>
        <w:rPr>
          <w:rFonts w:ascii="Calibri" w:hAnsi="Calibri"/>
          <w:b w:val="0"/>
          <w:i/>
          <w:color w:val="595959"/>
          <w:sz w:val="19"/>
        </w:rPr>
        <w:t>Diamond Head Home Inspections — Honolulu, HI</w:t>
      </w:r>
    </w:p>
    <w:p>
      <w:pPr>
        <w:spacing w:before="0" w:after="40" w:line="257" w:lineRule="auto"/>
        <w:ind w:left="403" w:hanging="230"/>
        <w:jc w:val="left"/>
      </w:pPr>
      <w:r>
        <w:rPr>
          <w:rFonts w:ascii="Calibri" w:hAnsi="Calibri"/>
          <w:b w:val="0"/>
          <w:i w:val="0"/>
          <w:color w:val="1A1A1A"/>
          <w:sz w:val="21"/>
        </w:rPr>
        <w:t>•  Led residential inspection operations: field assessments, defect documentation, and client reporting — embedded delivery with non-technical customers; evidence-bound workflows where findings had to be right, documented, and defensible.</w:t>
      </w:r>
    </w:p>
    <w:p>
      <w:pPr>
        <w:spacing w:before="200" w:after="100" w:line="257" w:lineRule="auto"/>
        <w:jc w:val="left"/>
        <w:pBdr>
          <w:bottom w:val="single" w:sz="6" w:space="2" w:color="B9CFD4"/>
        </w:pBdr>
      </w:pPr>
      <w:r>
        <w:rPr>
          <w:rFonts w:ascii="Calibri" w:hAnsi="Calibri"/>
          <w:b/>
          <w:smallCaps/>
          <w:color w:val="0E5F6B"/>
          <w:sz w:val="22"/>
          <w:spacing w:val="70"/>
        </w:rPr>
        <w:t>EDUCATION</w:t>
      </w:r>
    </w:p>
    <w:p>
      <w:pPr>
        <w:tabs>
          <w:tab w:pos="10368" w:val="right"/>
        </w:tabs>
        <w:spacing w:before="100" w:after="0" w:line="257" w:lineRule="auto"/>
        <w:jc w:val="left"/>
      </w:pPr>
      <w:r>
        <w:rPr>
          <w:rFonts w:ascii="Calibri" w:hAnsi="Calibri"/>
          <w:b/>
          <w:i w:val="0"/>
          <w:color w:val="1A1A1A"/>
          <w:sz w:val="21"/>
        </w:rPr>
        <w:t>University of Hawaii at Manoa</w:t>
      </w:r>
      <w:r>
        <w:rPr>
          <w:rFonts w:ascii="Calibri" w:hAnsi="Calibri"/>
          <w:b w:val="0"/>
          <w:i w:val="0"/>
          <w:color w:val="595959"/>
          <w:sz w:val="19"/>
        </w:rPr>
        <w:tab/>
        <w:t>2016</w:t>
      </w:r>
    </w:p>
    <w:p>
      <w:pPr>
        <w:spacing w:before="0" w:after="40" w:line="257" w:lineRule="auto"/>
        <w:jc w:val="left"/>
      </w:pPr>
      <w:r>
        <w:rPr>
          <w:rFonts w:ascii="Calibri" w:hAnsi="Calibri"/>
          <w:b w:val="0"/>
          <w:i/>
          <w:color w:val="595959"/>
          <w:sz w:val="19"/>
        </w:rPr>
        <w:t>Bachelor of Science</w:t>
      </w:r>
    </w:p>
    <w:p>
      <w:pPr>
        <w:tabs>
          <w:tab w:pos="10368" w:val="right"/>
        </w:tabs>
        <w:spacing w:before="100" w:after="0" w:line="257" w:lineRule="auto"/>
        <w:jc w:val="left"/>
      </w:pPr>
      <w:r>
        <w:rPr>
          <w:rFonts w:ascii="Calibri" w:hAnsi="Calibri"/>
          <w:b/>
          <w:i w:val="0"/>
          <w:color w:val="1A1A1A"/>
          <w:sz w:val="21"/>
        </w:rPr>
        <w:t>AWS Cloud Institute</w:t>
      </w:r>
      <w:r>
        <w:rPr>
          <w:rFonts w:ascii="Calibri" w:hAnsi="Calibri"/>
          <w:b w:val="0"/>
          <w:i w:val="0"/>
          <w:color w:val="595959"/>
          <w:sz w:val="19"/>
        </w:rPr>
        <w:tab/>
        <w:t>2025</w:t>
      </w:r>
    </w:p>
    <w:p>
      <w:pPr>
        <w:spacing w:before="0" w:after="40" w:line="257" w:lineRule="auto"/>
        <w:jc w:val="left"/>
      </w:pPr>
      <w:r>
        <w:rPr>
          <w:rFonts w:ascii="Calibri" w:hAnsi="Calibri"/>
          <w:b w:val="0"/>
          <w:i/>
          <w:color w:val="595959"/>
          <w:sz w:val="19"/>
        </w:rPr>
        <w:t>Cloud Computing program (brief attendance)</w:t>
      </w:r>
    </w:p>
    <w:p>
      <w:pPr>
        <w:tabs>
          <w:tab w:pos="10368" w:val="right"/>
        </w:tabs>
        <w:spacing w:before="100" w:after="0" w:line="257" w:lineRule="auto"/>
        <w:jc w:val="left"/>
      </w:pPr>
      <w:r>
        <w:rPr>
          <w:rFonts w:ascii="Calibri" w:hAnsi="Calibri"/>
          <w:b/>
          <w:i w:val="0"/>
          <w:color w:val="1A1A1A"/>
          <w:sz w:val="21"/>
        </w:rPr>
        <w:t>Colorado State University</w:t>
      </w:r>
    </w:p>
    <w:p>
      <w:pPr>
        <w:spacing w:before="0" w:after="40" w:line="257" w:lineRule="auto"/>
        <w:jc w:val="left"/>
      </w:pPr>
      <w:r>
        <w:rPr>
          <w:rFonts w:ascii="Calibri" w:hAnsi="Calibri"/>
          <w:b w:val="0"/>
          <w:i/>
          <w:color w:val="595959"/>
          <w:sz w:val="19"/>
        </w:rPr>
        <w:t>Undergraduate coursework</w:t>
      </w:r>
    </w:p>
    <w:p>
      <w:pPr>
        <w:spacing w:before="200" w:after="100" w:line="257" w:lineRule="auto"/>
        <w:jc w:val="left"/>
        <w:pBdr>
          <w:bottom w:val="single" w:sz="6" w:space="2" w:color="B9CFD4"/>
        </w:pBdr>
      </w:pPr>
      <w:r>
        <w:rPr>
          <w:rFonts w:ascii="Calibri" w:hAnsi="Calibri"/>
          <w:b/>
          <w:smallCaps/>
          <w:color w:val="0E5F6B"/>
          <w:sz w:val="22"/>
          <w:spacing w:val="70"/>
        </w:rPr>
        <w:t>SELECTED PROOF</w:t>
      </w:r>
    </w:p>
    <w:p>
      <w:pPr>
        <w:spacing w:before="120" w:after="20" w:line="257" w:lineRule="auto"/>
        <w:jc w:val="left"/>
      </w:pPr>
      <w:r>
        <w:rPr>
          <w:rFonts w:ascii="Calibri" w:hAnsi="Calibri"/>
          <w:b/>
          <w:i w:val="0"/>
          <w:color w:val="1A1A1A"/>
          <w:sz w:val="21"/>
        </w:rPr>
        <w:t>Job-App Helix — attributable campaign engine</w:t>
      </w:r>
    </w:p>
    <w:p>
      <w:pPr>
        <w:spacing w:before="0" w:after="40" w:line="257" w:lineRule="auto"/>
        <w:ind w:left="403" w:hanging="230"/>
        <w:jc w:val="left"/>
      </w:pPr>
      <w:r>
        <w:rPr>
          <w:rFonts w:ascii="Calibri" w:hAnsi="Calibri"/>
          <w:b w:val="0"/>
          <w:i w:val="0"/>
          <w:color w:val="1A1A1A"/>
          <w:sz w:val="21"/>
        </w:rPr>
        <w:t xml:space="preserve">•  Composes assessments into campaign-level </w:t>
      </w:r>
      <w:r>
        <w:rPr>
          <w:rFonts w:ascii="Calibri" w:hAnsi="Calibri"/>
          <w:b/>
          <w:i w:val="0"/>
          <w:color w:val="1A1A1A"/>
          <w:sz w:val="21"/>
        </w:rPr>
        <w:t>GO / NO-GO</w:t>
      </w:r>
      <w:r>
        <w:rPr>
          <w:rFonts w:ascii="Calibri" w:hAnsi="Calibri"/>
          <w:b w:val="0"/>
          <w:i w:val="0"/>
          <w:color w:val="1A1A1A"/>
          <w:sz w:val="21"/>
        </w:rPr>
        <w:t xml:space="preserve"> with immutable evidence models, stable finding codes, and fail-closed decisions — evals with release thresholds and LLM-as-judge wired into CI.</w:t>
      </w:r>
    </w:p>
    <w:p>
      <w:pPr>
        <w:spacing w:before="0" w:after="40" w:line="257" w:lineRule="auto"/>
        <w:ind w:left="403" w:hanging="230"/>
        <w:jc w:val="left"/>
      </w:pPr>
      <w:r>
        <w:rPr>
          <w:rFonts w:ascii="Calibri" w:hAnsi="Calibri"/>
          <w:b w:val="0"/>
          <w:i w:val="0"/>
          <w:color w:val="1A1A1A"/>
          <w:sz w:val="21"/>
        </w:rPr>
        <w:t>•  Recovery restricted to contingency evidence declared before reassessment — the engine never silently tunes values until they pass; audit receipts for every decision.</w:t>
      </w:r>
    </w:p>
    <w:p>
      <w:pPr>
        <w:spacing w:before="120" w:after="20" w:line="257" w:lineRule="auto"/>
        <w:jc w:val="left"/>
      </w:pPr>
      <w:r>
        <w:rPr>
          <w:rFonts w:ascii="Calibri" w:hAnsi="Calibri"/>
          <w:b/>
          <w:i w:val="0"/>
          <w:color w:val="1A1A1A"/>
          <w:sz w:val="21"/>
        </w:rPr>
        <w:t>GlacierEQ estate — agent systems portfolio</w:t>
      </w:r>
    </w:p>
    <w:p>
      <w:pPr>
        <w:spacing w:before="0" w:after="40" w:line="257" w:lineRule="auto"/>
        <w:ind w:left="403" w:hanging="230"/>
        <w:jc w:val="left"/>
      </w:pPr>
      <w:r>
        <w:rPr>
          <w:rFonts w:ascii="Calibri" w:hAnsi="Calibri"/>
          <w:b w:val="0"/>
          <w:i w:val="0"/>
          <w:color w:val="1A1A1A"/>
          <w:sz w:val="21"/>
        </w:rPr>
        <w:t>•  Durable patterns for claim tracking, evidence boundaries, audit receipts, observability with structured run states, and human-in-the-loop control across the full estate.</w:t>
      </w:r>
    </w:p>
    <w:p>
      <w:pPr>
        <w:spacing w:before="0" w:after="40" w:line="257" w:lineRule="auto"/>
        <w:ind w:left="403" w:hanging="230"/>
        <w:jc w:val="left"/>
      </w:pPr>
      <w:r>
        <w:rPr>
          <w:rFonts w:ascii="Calibri" w:hAnsi="Calibri"/>
          <w:b w:val="0"/>
          <w:i w:val="0"/>
          <w:color w:val="1A1A1A"/>
          <w:sz w:val="21"/>
        </w:rPr>
        <w:t>•  Shared agent framework with a common data and context layer, reusable tools, and deployment tooling — field gaps returned to the platform so the next deployment needs less custom work.</w:t>
      </w:r>
    </w:p>
    <w:p>
      <w:pPr>
        <w:spacing w:before="200" w:after="100" w:line="257" w:lineRule="auto"/>
        <w:jc w:val="left"/>
        <w:pBdr>
          <w:bottom w:val="single" w:sz="6" w:space="2" w:color="B9CFD4"/>
        </w:pBdr>
      </w:pPr>
      <w:r>
        <w:rPr>
          <w:rFonts w:ascii="Calibri" w:hAnsi="Calibri"/>
          <w:b/>
          <w:smallCaps/>
          <w:color w:val="0E5F6B"/>
          <w:sz w:val="22"/>
          <w:spacing w:val="70"/>
        </w:rPr>
        <w:t>SKILLS</w:t>
      </w:r>
    </w:p>
    <w:p>
      <w:pPr>
        <w:spacing w:before="0" w:after="40" w:line="257" w:lineRule="auto"/>
        <w:jc w:val="left"/>
      </w:pPr>
      <w:r>
        <w:rPr>
          <w:rFonts w:ascii="Calibri" w:hAnsi="Calibri"/>
          <w:b/>
          <w:i w:val="0"/>
          <w:color w:val="1A1A1A"/>
          <w:sz w:val="21"/>
        </w:rPr>
        <w:t xml:space="preserve">Languages: </w:t>
      </w:r>
      <w:r>
        <w:rPr>
          <w:rFonts w:ascii="Calibri" w:hAnsi="Calibri"/>
          <w:b w:val="0"/>
          <w:i w:val="0"/>
          <w:color w:val="1A1A1A"/>
          <w:sz w:val="21"/>
        </w:rPr>
        <w:t>Python · TypeScript · SQL · Bash · JavaScript / Node.js</w:t>
      </w:r>
    </w:p>
    <w:p>
      <w:pPr>
        <w:spacing w:before="0" w:after="40" w:line="257" w:lineRule="auto"/>
        <w:jc w:val="left"/>
      </w:pPr>
      <w:r>
        <w:rPr>
          <w:rFonts w:ascii="Calibri" w:hAnsi="Calibri"/>
          <w:b/>
          <w:i w:val="0"/>
          <w:color w:val="1A1A1A"/>
          <w:sz w:val="21"/>
        </w:rPr>
        <w:t xml:space="preserve">AI / Agents: </w:t>
      </w:r>
      <w:r>
        <w:rPr>
          <w:rFonts w:ascii="Calibri" w:hAnsi="Calibri"/>
          <w:b w:val="0"/>
          <w:i w:val="0"/>
          <w:color w:val="1A1A1A"/>
          <w:sz w:val="21"/>
        </w:rPr>
        <w:t>AI applications, agents, skills, connectors, workflow automations · multi-agent orchestration · RAG · LLM evaluation · prompt &amp; context engineering</w:t>
      </w:r>
    </w:p>
    <w:p>
      <w:pPr>
        <w:spacing w:before="0" w:after="40" w:line="257" w:lineRule="auto"/>
        <w:jc w:val="left"/>
      </w:pPr>
      <w:r>
        <w:rPr>
          <w:rFonts w:ascii="Calibri" w:hAnsi="Calibri"/>
          <w:b/>
          <w:i w:val="0"/>
          <w:color w:val="1A1A1A"/>
          <w:sz w:val="21"/>
        </w:rPr>
        <w:t xml:space="preserve">Data &amp; Infra: </w:t>
      </w:r>
      <w:r>
        <w:rPr>
          <w:rFonts w:ascii="Calibri" w:hAnsi="Calibri"/>
          <w:b w:val="0"/>
          <w:i w:val="0"/>
          <w:color w:val="1A1A1A"/>
          <w:sz w:val="21"/>
        </w:rPr>
        <w:t>Supabase · Postgres · Vercel · GitHub Actions · REST APIs · MCP tool integration patterns</w:t>
      </w:r>
    </w:p>
    <w:p>
      <w:pPr>
        <w:spacing w:before="0" w:after="40" w:line="257" w:lineRule="auto"/>
        <w:jc w:val="left"/>
      </w:pPr>
      <w:r>
        <w:rPr>
          <w:rFonts w:ascii="Calibri" w:hAnsi="Calibri"/>
          <w:b/>
          <w:i w:val="0"/>
          <w:color w:val="1A1A1A"/>
          <w:sz w:val="21"/>
        </w:rPr>
        <w:t xml:space="preserve">Practice: </w:t>
      </w:r>
      <w:r>
        <w:rPr>
          <w:rFonts w:ascii="Calibri" w:hAnsi="Calibri"/>
          <w:b w:val="0"/>
          <w:i w:val="0"/>
          <w:color w:val="1A1A1A"/>
          <w:sz w:val="21"/>
        </w:rPr>
        <w:t>evals &amp; release thresholds · AI-native development (AI tools in the loop) · human-in-the-loop controls · observability · failure analysis · platform feedback loops · clear human-facing documentation</w:t>
      </w:r>
    </w:p>
    <w:p>
      <w:pPr>
        <w:spacing w:before="200" w:after="0" w:line="257" w:lineRule="auto"/>
        <w:jc w:val="left"/>
      </w:pPr>
      <w:r>
        <w:rPr>
          <w:rFonts w:ascii="Calibri" w:hAnsi="Calibri"/>
          <w:b w:val="0"/>
          <w:i/>
          <w:color w:val="595959"/>
          <w:sz w:val="17"/>
        </w:rPr>
        <w:t>Evidence boundary: portfolio repositories are independent work. Domain-inspired demonstrations are not claims of company affiliation, production deployment at a customer's enterprise, grocery/retail depth, or certification. No Databricks/PySpark/dbt production depth claimed. No Afresh-platform production claims.</w:t>
      </w:r>
    </w:p>
    <w:sectPr w:rsidR="00FC693F" w:rsidRPr="0006063C" w:rsidSect="00034616">
      <w:pgSz w:w="12240" w:h="15840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