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 build agentic workflows the way this posting asks: ambiguous business problem in, well-framed workflow with clear success criteria and evaluation methodology out. Three years as a founder running an evidence-grade agent control plane from Honolulu — prototyping LLM-powered agents that reason, plan, and act across tools, APIs, and sensitive data sources, then hardening them to production with eval gates, typed handoff contracts, and fail-closed recovery. The bridge posture is native: I scope with operators, build the first-of-its-kind workflow, and leave audit receipts behind.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My integration layer is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authored MCP connectors — governed tool/API/data-source connections with typed contracts and structured validation on every boundary — plus evaluation harnesses with written rubrics (LLM-as-a-judge), golden datasets, and behavioral assertions. Agents must be reliable, observable, safe, and auditable from day one: that is my default operating posture, not a compliance add-on. Enterprise-customer depth is founder/operator (three years), honestly stated — no enterprise logos claimed.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Deployed delivery: </w:t>
      </w:r>
      <w:r>
        <w:rPr>
          <w:rFonts w:ascii="Calibri" w:hAnsi="Calibri"/>
          <w:b w:val="0"/>
          <w:i w:val="0"/>
          <w:color w:val="1A1A1A"/>
          <w:sz w:val="21"/>
        </w:rPr>
        <w:t>embedded delivery posture · customer discovery · ambiguous-scope scoping · rapid prototyping → production · field friction → product requirements · technical-consulting posture · trusted builder relationships · handover discipline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Agentic AI: </w:t>
      </w:r>
      <w:r>
        <w:rPr>
          <w:rFonts w:ascii="Calibri" w:hAnsi="Calibri"/>
          <w:b w:val="0"/>
          <w:i w:val="0"/>
          <w:color w:val="1A1A1A"/>
          <w:sz w:val="21"/>
        </w:rPr>
        <w:t>agentic workflows (reason / plan / act) · tool use &amp; function calling · structured outputs · MCP servers &amp; connectors · RAG pipelines · multi-agent loops · guardrails · fail-closed recovery · human-in-the-loop gates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Evaluation &amp; quality: </w:t>
      </w:r>
      <w:r>
        <w:rPr>
          <w:rFonts w:ascii="Calibri" w:hAnsi="Calibri"/>
          <w:b w:val="0"/>
          <w:i w:val="0"/>
          <w:color w:val="1A1A1A"/>
          <w:sz w:val="21"/>
        </w:rPr>
        <w:t>evaluation harnesses · golden datasets · behavioral assertions · LLM-as-a-judge with written rubrics · success-criteria framing · quality scoring · failure analysis · error taxonomies · trace intelligence · observability &amp; run logging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Python (primary) · TypeScript · SQL · Bash · REST APIs · JSON Schema / Pydantic-style validation · GitHub Actions (CI/CD) · Postgres · per-task latency &amp; token-cost instrumentation · retry logic · documentation engineers actually read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Deliver the FDE motion end to end: translate ambiguous operator problems into well-framed agentic workflows with clear success criteria and written evaluation methodologies — prototype fast, measure honestly, harden what carries load.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Ship LLM-powered agents that reason, plan, and act across tools, APIs, and data sources: typed handoff contracts govern every agent boundary; structured outputs and validation keep tool calls honest.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Connect agents to the real world through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authored MCP connectors — governed integrations with typed contracts, evidence boundaries, and audit receipts on every tool boundary.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Gate quality with evaluation harnesses before anything ships: golden datasets, behavioral assertions, LLM-as-a-judge with written rubrics — the eval methodology behind every production agent engagement.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Design for failure in deployed settings: instrument the failure modes found in production — stuck loops, bad retrievals, tool misuse, context blowouts — and build the catchers: replay loops, fail-closed gates, recovery restricted to evidence declared before reassessment.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Run an evidence-grade agent control plane across a </w:t>
      </w:r>
      <w:r>
        <w:rPr>
          <w:rFonts w:ascii="Calibri" w:hAnsi="Calibri"/>
          <w:b/>
          <w:i w:val="0"/>
          <w:color w:val="1A1A1A"/>
          <w:sz w:val="21"/>
        </w:rPr>
        <w:t>1,395-repository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estate: observability, trace intelligence, and recoverable runs — backed by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suite,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evaluation-gated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Attributable campaign engine with immutable evidence models and fail-closed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decisions — the eval gate decides what carries load.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Judge criteria with written rubrics behind every automated quality decision — the success-criteria discipline enterprise agent products depend on.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Governed integration layer — 65 authored MCP connectors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Governed tool/API/data-source connections with typed contracts and structured validation on every boundary — the reusable integration layer behind every deployed agent engagement.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Connectors span enterprise-style identity/access patterns: approval gates, access controls, audit receipts.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Agentic AI: </w:t>
      </w:r>
      <w:r>
        <w:rPr>
          <w:rFonts w:ascii="Calibri" w:hAnsi="Calibri"/>
          <w:b w:val="0"/>
          <w:i w:val="0"/>
          <w:color w:val="1A1A1A"/>
          <w:sz w:val="21"/>
        </w:rPr>
        <w:t>agent workflows · tool/function calling · MCP · structured outputs · RAG · eval harnesses · LLM-as-a-judge · trace intelligence · guardrails · fail-closed recovery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Deployed engineering: </w:t>
      </w:r>
      <w:r>
        <w:rPr>
          <w:rFonts w:ascii="Calibri" w:hAnsi="Calibri"/>
          <w:b w:val="0"/>
          <w:i w:val="0"/>
          <w:color w:val="1A1A1A"/>
          <w:sz w:val="21"/>
        </w:rPr>
        <w:t>discovery &amp; scoping · rapid prototyping · embedded delivery · field-to-product feedback · handover discipline · technical writing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Production: </w:t>
      </w:r>
      <w:r>
        <w:rPr>
          <w:rFonts w:ascii="Calibri" w:hAnsi="Calibri"/>
          <w:b w:val="0"/>
          <w:i w:val="0"/>
          <w:color w:val="1A1A1A"/>
          <w:sz w:val="21"/>
        </w:rPr>
        <w:t>REST APIs · Postgres · CI/CD (GitHub Actions) · JSON Schema validation · observability · latency &amp; token-cost instrumentation · retry logic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No enterprise customer logos claimed; customer-facing delivery is founder/operator (three years), honestly stated. No Cohere-platform (North) internals claimed. No React-app-scale frontend production claims — TypeScript production is real; frontend flex is honest posture, not depth claimed. GitHub is the forge of record.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