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7" w:lineRule="auto"/>
        <w:jc w:val="center"/>
      </w:pPr>
      <w:r>
        <w:rPr>
          <w:rFonts w:ascii="Calibri Light" w:hAnsi="Calibri Light"/>
          <w:b/>
          <w:color w:val="0E5F6B"/>
          <w:sz w:val="50"/>
        </w:rPr>
        <w:t>Casey Barton</w:t>
      </w:r>
    </w:p>
    <w:p>
      <w:pPr>
        <w:spacing w:before="0" w:after="120" w:line="257" w:lineRule="auto"/>
        <w:jc w:val="center"/>
        <w:pBdr>
          <w:bottom w:val="single" w:sz="12" w:space="6" w:color="0E5F6B"/>
        </w:pBdr>
      </w:pPr>
      <w:r>
        <w:rPr>
          <w:rFonts w:ascii="Calibri" w:hAnsi="Calibri"/>
          <w:b w:val="0"/>
          <w:i w:val="0"/>
          <w:color w:val="595959"/>
          <w:sz w:val="19"/>
        </w:rPr>
        <w:t>Honolulu, HI  ·  (808) 936-5654  ·  glacier.equilibrium@gmail.com  ·  github.com/GlacierEQ  ·  casey-barton-glaciereq.vercel.app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PROFILE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Forward-deployed AI agent builder based in Honolulu. I embed with the people whose problems I'm solving — run the demo, own the integration, tune the agent until it holds up in their production — then feed what the deployment taught me back into the platform.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Three years running an evidence-grade agent control plane: LLM agent frameworks, function calling, retrieval-augmented generation, prompt and configuration optimization, API/CRM/database integrations, performance monitoring with A/B testing, fail-closed recovery. Remote-first; open to travel for enterprise deployments.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CORE COMPETENCIES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Engineering: </w:t>
      </w:r>
      <w:r>
        <w:rPr>
          <w:rFonts w:ascii="Calibri" w:hAnsi="Calibri"/>
          <w:b w:val="0"/>
          <w:i w:val="0"/>
          <w:color w:val="1A1A1A"/>
          <w:sz w:val="21"/>
        </w:rPr>
        <w:t>Python · TypeScript · Node.js · SQL · Bash · REST APIs · webhooks · Supabase · Postgres · Vercel · GitHub Actions (CI/CD) · containers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AI &amp; Agents: </w:t>
      </w:r>
      <w:r>
        <w:rPr>
          <w:rFonts w:ascii="Calibri" w:hAnsi="Calibri"/>
          <w:b w:val="0"/>
          <w:i w:val="0"/>
          <w:color w:val="1A1A1A"/>
          <w:sz w:val="21"/>
        </w:rPr>
        <w:t>LLM agent frameworks · function calling · RAG · prompt &amp; context engineering · MCP protocol · multi-agent orchestration · LLM evaluation harnesses · human-in-the-loop control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Deployment: </w:t>
      </w:r>
      <w:r>
        <w:rPr>
          <w:rFonts w:ascii="Calibri" w:hAnsi="Calibri"/>
          <w:b w:val="0"/>
          <w:i w:val="0"/>
          <w:color w:val="1A1A1A"/>
          <w:sz w:val="21"/>
        </w:rPr>
        <w:t>customer-embedded scoping · demos &amp; proof-of-concepts · performance monitoring · A/B testing · verification gates · audit receipts · idempotent automation · fail-closed recovery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EXPERIENCE</w:t>
      </w:r>
    </w:p>
    <w:p>
      <w:pPr>
        <w:tabs>
          <w:tab w:pos="10368" w:val="right"/>
        </w:tabs>
        <w:spacing w:before="12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Founder / Applied AI Systems Architect</w:t>
      </w:r>
      <w:r>
        <w:rPr>
          <w:rFonts w:ascii="Calibri" w:hAnsi="Calibri"/>
          <w:b w:val="0"/>
          <w:i w:val="0"/>
          <w:color w:val="595959"/>
          <w:sz w:val="19"/>
        </w:rPr>
        <w:tab/>
        <w:t>2023 – Present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GlacierEQ — Honolulu, HI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Develop, configure, deploy, and optimize production AI agents across a </w:t>
      </w:r>
      <w:r>
        <w:rPr>
          <w:rFonts w:ascii="Calibri" w:hAnsi="Calibri"/>
          <w:b/>
          <w:i w:val="0"/>
          <w:color w:val="1A1A1A"/>
          <w:sz w:val="21"/>
        </w:rPr>
        <w:t>1,395-repository</w:t>
      </w:r>
      <w:r>
        <w:rPr>
          <w:rFonts w:ascii="Calibri" w:hAnsi="Calibri"/>
          <w:b w:val="0"/>
          <w:i w:val="0"/>
          <w:color w:val="1A1A1A"/>
          <w:sz w:val="21"/>
        </w:rPr>
        <w:t xml:space="preserve"> platform: agent governance, MCP integrations, context externalization, document workflows, infrastructure modeling.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Operate a </w:t>
      </w:r>
      <w:r>
        <w:rPr>
          <w:rFonts w:ascii="Calibri" w:hAnsi="Calibri"/>
          <w:b/>
          <w:i w:val="0"/>
          <w:color w:val="1A1A1A"/>
          <w:sz w:val="21"/>
        </w:rPr>
        <w:t>989-test</w:t>
      </w:r>
      <w:r>
        <w:rPr>
          <w:rFonts w:ascii="Calibri" w:hAnsi="Calibri"/>
          <w:b w:val="0"/>
          <w:i w:val="0"/>
          <w:color w:val="1A1A1A"/>
          <w:sz w:val="21"/>
        </w:rPr>
        <w:t xml:space="preserve"> agent control plane — typed state transitions, approval gates, recoverable runs — with </w:t>
      </w:r>
      <w:r>
        <w:rPr>
          <w:rFonts w:ascii="Calibri" w:hAnsi="Calibri"/>
          <w:b/>
          <w:i w:val="0"/>
          <w:color w:val="1A1A1A"/>
          <w:sz w:val="21"/>
        </w:rPr>
        <w:t>62/62</w:t>
      </w:r>
      <w:r>
        <w:rPr>
          <w:rFonts w:ascii="Calibri" w:hAnsi="Calibri"/>
          <w:b w:val="0"/>
          <w:i w:val="0"/>
          <w:color w:val="1A1A1A"/>
          <w:sz w:val="21"/>
        </w:rPr>
        <w:t xml:space="preserve"> verification checks green; prompt and configuration tuning validated before anything ships.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Integrated </w:t>
      </w:r>
      <w:r>
        <w:rPr>
          <w:rFonts w:ascii="Calibri" w:hAnsi="Calibri"/>
          <w:b/>
          <w:i w:val="0"/>
          <w:color w:val="1A1A1A"/>
          <w:sz w:val="21"/>
        </w:rPr>
        <w:t>65 MCP connectors</w:t>
      </w:r>
      <w:r>
        <w:rPr>
          <w:rFonts w:ascii="Calibri" w:hAnsi="Calibri"/>
          <w:b w:val="0"/>
          <w:i w:val="0"/>
          <w:color w:val="1A1A1A"/>
          <w:sz w:val="21"/>
        </w:rPr>
        <w:t xml:space="preserve"> plus APIs, webhooks, and data pipelines connecting customer environments to a platform and back — the exact integration surface this role owns.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Run demos and proof-of-concepts, gather technical requirements, define milestones and implementation plans, and coordinate execution end to end — the field pattern this role describes.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Feed deployment learnings into the product roadmap: identify gaps, build custom tooling, and turn real-world failure modes into platform capabilities that maximize customer ROI.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Serve as the trusted technical advisor for operators and stakeholders: architecture design, security considerations, scalability planning — translated into decisions non-technical clients use the same day.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EDUCATION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University of Hawaii at Manoa</w:t>
      </w:r>
      <w:r>
        <w:rPr>
          <w:rFonts w:ascii="Calibri" w:hAnsi="Calibri"/>
          <w:b w:val="0"/>
          <w:i w:val="0"/>
          <w:color w:val="595959"/>
          <w:sz w:val="19"/>
        </w:rPr>
        <w:tab/>
        <w:t>2016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Bachelor of Science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AWS Cloud Institute</w:t>
      </w:r>
      <w:r>
        <w:rPr>
          <w:rFonts w:ascii="Calibri" w:hAnsi="Calibri"/>
          <w:b w:val="0"/>
          <w:i w:val="0"/>
          <w:color w:val="595959"/>
          <w:sz w:val="19"/>
        </w:rPr>
        <w:tab/>
        <w:t>2025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Cloud Computing program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Colorado State University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Undergraduate coursework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SELECTED PROOF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Job-App Helix — attributable campaign engine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Composes assessments into campaign-level </w:t>
      </w:r>
      <w:r>
        <w:rPr>
          <w:rFonts w:ascii="Calibri" w:hAnsi="Calibri"/>
          <w:b/>
          <w:i w:val="0"/>
          <w:color w:val="1A1A1A"/>
          <w:sz w:val="21"/>
        </w:rPr>
        <w:t>GO / NO-GO</w:t>
      </w:r>
      <w:r>
        <w:rPr>
          <w:rFonts w:ascii="Calibri" w:hAnsi="Calibri"/>
          <w:b w:val="0"/>
          <w:i w:val="0"/>
          <w:color w:val="1A1A1A"/>
          <w:sz w:val="21"/>
        </w:rPr>
        <w:t xml:space="preserve"> with immutable evidence models, stable finding codes, and fail-closed decisions.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Recovery restricted to contingency evidence declared before reassessment — the engine never silently tunes values until they pass.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GlacierEQ estate — agent systems portfolio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Durable patterns for claim tracking, evidence boundaries, audit receipts, and human-in-the-loop control across the full estate.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Connects multiple technical surfaces — agents, APIs, databases — into one coherent, verifiable working system.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SKILLS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Languages: </w:t>
      </w:r>
      <w:r>
        <w:rPr>
          <w:rFonts w:ascii="Calibri" w:hAnsi="Calibri"/>
          <w:b w:val="0"/>
          <w:i w:val="0"/>
          <w:color w:val="1A1A1A"/>
          <w:sz w:val="21"/>
        </w:rPr>
        <w:t>Python · TypeScript · SQL · Bash · JavaScript / Node.js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AI / Agents: </w:t>
      </w:r>
      <w:r>
        <w:rPr>
          <w:rFonts w:ascii="Calibri" w:hAnsi="Calibri"/>
          <w:b w:val="0"/>
          <w:i w:val="0"/>
          <w:color w:val="1A1A1A"/>
          <w:sz w:val="21"/>
        </w:rPr>
        <w:t>LLM agent frameworks · function calling · RAG · MCP protocol · multi-agent orchestration · LLM evaluation · prompt &amp; context engineering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Data &amp; Infra: </w:t>
      </w:r>
      <w:r>
        <w:rPr>
          <w:rFonts w:ascii="Calibri" w:hAnsi="Calibri"/>
          <w:b w:val="0"/>
          <w:i w:val="0"/>
          <w:color w:val="1A1A1A"/>
          <w:sz w:val="21"/>
        </w:rPr>
        <w:t>Supabase · Postgres · Vercel · GitHub Actions · REST APIs · webhooks · containers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Practice: </w:t>
      </w:r>
      <w:r>
        <w:rPr>
          <w:rFonts w:ascii="Calibri" w:hAnsi="Calibri"/>
          <w:b w:val="0"/>
          <w:i w:val="0"/>
          <w:color w:val="1A1A1A"/>
          <w:sz w:val="21"/>
        </w:rPr>
        <w:t>demos &amp; POCs · A/B testing · performance monitoring · verification gates · audit receipts · idempotent automation</w:t>
      </w:r>
    </w:p>
    <w:p>
      <w:pPr>
        <w:spacing w:before="200" w:after="0" w:line="257" w:lineRule="auto"/>
        <w:jc w:val="left"/>
      </w:pPr>
      <w:r>
        <w:rPr>
          <w:rFonts w:ascii="Calibri" w:hAnsi="Calibri"/>
          <w:b w:val="0"/>
          <w:i/>
          <w:color w:val="595959"/>
          <w:sz w:val="17"/>
        </w:rPr>
        <w:t>Evidence boundary: portfolio repositories are independent work. Domain-inspired demonstrations are not claims of company affiliation, production deployment, or certification.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