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0" w:after="120" w:line="257" w:lineRule="auto"/>
        <w:jc w:val="center"/>
      </w:pPr>
      <w:r>
        <w:rPr>
          <w:rFonts w:ascii="Calibri" w:hAnsi="Calibri"/>
          <w:b w:val="0"/>
          <w:i/>
          <w:color w:val="595959"/>
          <w:sz w:val="17"/>
        </w:rPr>
        <w:t>DRAFT — review held, not submitted. Tailored 2026-10-08 for Scale AI req 4481921005 (Forward Deployed Software Engineer, Public Sector — Honolulu).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Forward-deployed AI systems builder based in Honolulu — already where this posting hires. I embed with the people whose problems I'm solving, own delivery from first prototype to production, and ship software customers adopt and rely on in the field.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Three years running an evidence-grade agent control plane for constrained state and federal work: inspectable state transitions, bounded tool actions, approval gates, recoverable runs. No active clearance; eligible for sponsorship. Open to 25–50% travel; not relocating off-island.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Node.js · SQL · Bash · REST APIs · Supabase · Postgres · Vercel · GitHub Actions (CI/CD)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Agents: </w:t>
      </w:r>
      <w:r>
        <w:rPr>
          <w:rFonts w:ascii="Calibri" w:hAnsi="Calibri"/>
          <w:b w:val="0"/>
          <w:i w:val="0"/>
          <w:color w:val="1A1A1A"/>
          <w:sz w:val="21"/>
        </w:rPr>
        <w:t>MCP protocol · multi-agent orchestration · LLM evaluation harnesses · prompt &amp; context engineering · human-in-the-loop control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Deployment: </w:t>
      </w:r>
      <w:r>
        <w:rPr>
          <w:rFonts w:ascii="Calibri" w:hAnsi="Calibri"/>
          <w:b w:val="0"/>
          <w:i w:val="0"/>
          <w:color w:val="1A1A1A"/>
          <w:sz w:val="21"/>
        </w:rPr>
        <w:t>end-to-end delivery · operator-embedded scoping · verification gates · audit receipts · idempotent automation · Linux · containers · networking fundamentals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Ship production-grade agent systems end to end across a </w:t>
      </w:r>
      <w:r>
        <w:rPr>
          <w:rFonts w:ascii="Calibri" w:hAnsi="Calibri"/>
          <w:b/>
          <w:i w:val="0"/>
          <w:color w:val="1A1A1A"/>
          <w:sz w:val="21"/>
        </w:rPr>
        <w:t>1,313-repository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platform: agent governance, MCP integrations, context externalization, document workflows, infrastructure modeling.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Operate a </w:t>
      </w:r>
      <w:r>
        <w:rPr>
          <w:rFonts w:ascii="Calibri" w:hAnsi="Calibri"/>
          <w:b/>
          <w:i w:val="0"/>
          <w:color w:val="1A1A1A"/>
          <w:sz w:val="21"/>
        </w:rPr>
        <w:t>961-test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agent control plane — typed state transitions, approval gates, recoverable runs — with </w:t>
      </w:r>
      <w:r>
        <w:rPr>
          <w:rFonts w:ascii="Calibri" w:hAnsi="Calibri"/>
          <w:b/>
          <w:i w:val="0"/>
          <w:color w:val="1A1A1A"/>
          <w:sz w:val="21"/>
        </w:rPr>
        <w:t>62/62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Embedded-style delivery: map the operator's workflow, build the narrow end-to-end proof, then deepen the components that carry real load — the field pattern this role describes.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Integrated </w:t>
      </w:r>
      <w:r>
        <w:rPr>
          <w:rFonts w:ascii="Calibri" w:hAnsi="Calibri"/>
          <w:b/>
          <w:i w:val="0"/>
          <w:color w:val="1A1A1A"/>
          <w:sz w:val="21"/>
        </w:rPr>
        <w:t>65 MCP connectors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claim tracking, evidence boundaries, and idempotent automation — backend systems and data integrations that connect customer environments to a platform and back.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Serve as the technical point of contact for operators and stakeholders: turn hard system behavior into decisions non-technical clients use the same day.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2024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attributable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Composes assessments into campaign-level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immutable evidence models, stable finding codes, and fail-closed decisions.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Recovery restricted to contingency evidence declared before reassessment — the engine never silently tunes values until they pass.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agent systems portfolio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Connects multiple technical surfaces — agents, APIs, databases — into one coherent, verifiable working system.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Agents: </w:t>
      </w:r>
      <w:r>
        <w:rPr>
          <w:rFonts w:ascii="Calibri" w:hAnsi="Calibri"/>
          <w:b w:val="0"/>
          <w:i w:val="0"/>
          <w:color w:val="1A1A1A"/>
          <w:sz w:val="21"/>
        </w:rPr>
        <w:t>MCP protocol · multi-agent orchestration · LLM evaluation · prompt &amp; context engineering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Data &amp; Infra: </w:t>
      </w:r>
      <w:r>
        <w:rPr>
          <w:rFonts w:ascii="Calibri" w:hAnsi="Calibri"/>
          <w:b w:val="0"/>
          <w:i w:val="0"/>
          <w:color w:val="1A1A1A"/>
          <w:sz w:val="21"/>
        </w:rPr>
        <w:t>Supabase · Postgres · Vercel · GitHub Actions · REST APIs · Linux · containers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Practice: </w:t>
      </w:r>
      <w:r>
        <w:rPr>
          <w:rFonts w:ascii="Calibri" w:hAnsi="Calibri"/>
          <w:b w:val="0"/>
          <w:i w:val="0"/>
          <w:color w:val="1A1A1A"/>
          <w:sz w:val="21"/>
        </w:rPr>
        <w:t>verification gates · audit receipts · idempotent automation · clear human-facing documentation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deployment, or certification.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