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Customer-embedded AI systems builder based in Honolulu, remote-first. I earn the technical win the way this role describes it: discovery, POC scoping with named success and exit criteria, demos on real partner data, and deployment architectures that inherit the customer's governance, access controls, and security model.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 in production: agentic AI workflows with evals, tool use, and agent orchestration; typed state transitions; approval gates; fail-closed recovery. Hands-on data work — SQL, Postgres, ingestion/transformation pipelines — and the habit of productionizing every repeatable win into a module, a rail, or an agent.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Postgres · Supabase · data ingestion &amp; transformation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evals · tool use · agent orchestration · LLM-powered prototypes · MCP protocol · function calling · RAG · prompt &amp; context engineering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Field Craft: </w:t>
      </w:r>
      <w:r>
        <w:rPr>
          <w:rFonts w:ascii="Calibri" w:hAnsi="Calibri"/>
          <w:b w:val="0"/>
          <w:i w:val="0"/>
          <w:color w:val="1A1A1A"/>
          <w:sz w:val="21"/>
        </w:rPr>
        <w:t>POC scoping &amp; definition · technical discovery · demos on live data · deployment architecture · governance inheritance · success/exit criteria · warm handoffs · roadmap feedback from the field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the technical win end to end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discovery, scoped proof-of-concept with explicit success criteria, demo on live data, deployment architecture — then hand off warm with full context.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green: typed state transitions, human approval gates, fail-closed recovery — governed agentic AI the way enterprise security reviews demand.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Built agentic workflows with </w:t>
      </w:r>
      <w:r>
        <w:rPr>
          <w:rFonts w:ascii="Calibri" w:hAnsi="Calibri"/>
          <w:b/>
          <w:i w:val="0"/>
          <w:color w:val="1A1A1A"/>
          <w:sz w:val="21"/>
        </w:rPr>
        <w:t>evals, tool use, and agent orchestration</w:t>
      </w:r>
      <w:r>
        <w:rPr>
          <w:rFonts w:ascii="Calibri" w:hAnsi="Calibri"/>
          <w:b w:val="0"/>
          <w:i w:val="0"/>
          <w:color w:val="1A1A1A"/>
          <w:sz w:val="21"/>
        </w:rPr>
        <w:t xml:space="preserve"> in daily practice;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across heterogeneous partner-style environments.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Productionize the repeatable parts: every second and third repetition becomes a module, a rail, or an agent that makes the next engagement faster — the compound-interest pattern this role runs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Spot patterns across engagements and feed them back into the platform: identify gaps, build custom tooling, and turn deployment learnings into roadmap capabilities.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Hands-on data work: SQL, Postgres, ingestion and transformation design, and data pipelines that hold up under real measurement — the measurement data is the product.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evals · tool use · agent orchestration · LLM prototypes · MCP protocol · function calling · RAG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Postgres · Supabase · REST APIs · webhooks · data pipelines · GitHub Actions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POC craft · demos on live data · verification gates · audit receipts · idempotent automation · warm handoffs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