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 build production-grade AI agents and the evaluation, observability, and guardrail frameworks that make them trustworthy: eval suites with golden sets and behavioral assertions, full trace logging, judge-in-the-loop rubrics, fail-closed gates, and human-in-the-loop where it matters. Security-first by construction — evidence boundaries, typed handoff contracts, approval gates on consequential actions, audit receipts on every run.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as a founder running an evidence-grade agent control plane from Honolulu: hand-rolled multi-agent orchestration (planning, tool-use, retrieval, memory, guardrails, human handoffs) across a </w:t>
      </w:r>
      <w:r>
        <w:rPr>
          <w:rFonts w:ascii="Calibri" w:hAnsi="Calibri"/>
          <w:b/>
          <w:i w:val="0"/>
          <w:color w:val="1A1A1A"/>
          <w:sz w:val="21"/>
        </w:rPr>
        <w:t>1,395-repository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estate;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 as the governed integration layer; per-task latency and token-cost instrumentation so agent cost is measured, not guessed;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 with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/ Node.js · SQL · Bash · REST APIs · containers · GitHub Actions (CI/CD) · Supabase · Postgres · event-driven systems · async job queues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Applied AI / Agentic Systems: </w:t>
      </w:r>
      <w:r>
        <w:rPr>
          <w:rFonts w:ascii="Calibri" w:hAnsi="Calibri"/>
          <w:b w:val="0"/>
          <w:i w:val="0"/>
          <w:color w:val="1A1A1A"/>
          <w:sz w:val="21"/>
        </w:rPr>
        <w:t>LLM-powered agents · multi-agent orchestration · tool use &amp; structured outputs · MCP servers &amp; connectors · RAG &amp; reranking · evaluation frameworks · judge-in-the-loop · observability · guardrails · prompt engineering (Claude, GPT, Llama, Mistral) · model-agnostic benchmarking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 &amp; Security: </w:t>
      </w:r>
      <w:r>
        <w:rPr>
          <w:rFonts w:ascii="Calibri" w:hAnsi="Calibri"/>
          <w:b w:val="0"/>
          <w:i w:val="0"/>
          <w:color w:val="1A1A1A"/>
          <w:sz w:val="21"/>
        </w:rPr>
        <w:t>end-to-end ownership (prototype → production) · fail-closed recovery · security-first design (permissions, data access, failure modes) · cost tracking &amp; efficiency · CI regression gates · decision audit receipts · documentation &amp; enablement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Design and build the eval, observability, and guardrail frameworks that decide whether an agent is actually doing the job: golden suites, behavioral assertions, judge rubrics, full trace logging, regression gates — measured against a baseline, every run, before anything touches production.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Ship agents that take real actions under security-first design: evidence boundaries on every tool, typed handoff contracts between agents, human approval gates on consequential actions, fail-closed on ambiguous state — recovery restricted to contingency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Own multi-agent orchestration end to end: hand-rolled planning and tool-use loops with retrieval, memory, and guardrails; the durable patterns their Agentic Systems team is standardizing — reusable toolkits, shared best practices, and written enablement so every new agent ships on the same spine.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Instrument agent cost like infrastructure: per-task latency and token-cost tracking across runs, model-agnostic benchmarking on every release — the usage-and-cost visibility the role asks for, built into the platform, not bolted 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Work the ambiguity the role describes: scope workflows with non-technical operators, turn loosely defined problems into agent-driven solutions, and state plainly what each agent can and cannot reliably do.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Author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 and integrations that expose tools and structured resources to any MCP-compatible system — ERPs, CRMs, data pipelines, webhooks, messaging — the shared, governed integration layer every downstream agent runs 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the control plane across a </w:t>
      </w:r>
      <w:r>
        <w:rPr>
          <w:rFonts w:ascii="Calibri" w:hAnsi="Calibri"/>
          <w:b/>
          <w:i w:val="0"/>
          <w:color w:val="1A1A1A"/>
          <w:sz w:val="21"/>
        </w:rPr>
        <w:t>1,395-repository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 with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 — no agent completion claim without independent provider readback.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Immutable evidence models, stable finding codes,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 on an hourly production pipeline; no agent completion claim without independent provider readback.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Reusable-pattern discipline: one-off field wins become shared infrastructure with versioned eval suites and written design docs — the 'reusable patterns, shared tools, best practices' motion.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production agent systems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Per-task latency instrumentation and decision audit logs across agent runs — the tracing practice that makes benchmarking honest.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/ Node.js · SQL · Bash · Java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Applied AI: </w:t>
      </w:r>
      <w:r>
        <w:rPr>
          <w:rFonts w:ascii="Calibri" w:hAnsi="Calibri"/>
          <w:b w:val="0"/>
          <w:i w:val="0"/>
          <w:color w:val="1A1A1A"/>
          <w:sz w:val="21"/>
        </w:rPr>
        <w:t>LLM agents · multi-agent orchestration · tool use &amp; structured outputs · MCP integrations · RAG &amp; reranking · evaluation frameworks · judge-in-the-loop · observability · guardrails · prompt engineering · model-agnostic benchmarking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 &amp; Security: </w:t>
      </w:r>
      <w:r>
        <w:rPr>
          <w:rFonts w:ascii="Calibri" w:hAnsi="Calibri"/>
          <w:b w:val="0"/>
          <w:i w:val="0"/>
          <w:color w:val="1A1A1A"/>
          <w:sz w:val="21"/>
        </w:rPr>
        <w:t>end-to-end ownership · fail-closed recovery · security-first design · cost tracking &amp; efficiency · CI regression gates · audit receipts · documentation &amp; enablement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