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Builder-first founding AI engineer. Three years running an evidence-grade agent control plane from Honolulu — I ship domain-specific agents into live operator workflows, then make them repeatable: evaluation infrastructure that measures whether agents actually replace human workflows (not vibes), model selection and routing across frontier + open models decided by measured economics, and AI-engineering playbooks every new engagement inherits on day one. 90% build is my natural ratio. Field fluency runs deeper than theory: I come from the physical economy — licensed home-inspector background, permits, site work, materials — so unglamorous industries are home turf.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My integration layer is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tool/API/data-source connections with typed contracts and structured validation on every boundary — plus eval harnesses with written rubrics (LLM-as-a-judge), golden datasets, and behavioral assertions. Agents must be reliable, observable, and auditable from day one: the operating posture, not a compliance add-on. Honest on scope: no client-side enterprise deployments, no enterprise logos claimed; the building, the evals, and the playbooks are the transferable part.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Forward-deployed delivery: </w:t>
      </w:r>
      <w:r>
        <w:rPr>
          <w:b w:val="0"/>
          <w:color w:val="1A1A1A"/>
          <w:sz w:val="21"/>
        </w:rPr>
        <w:t>embedded delivery posture · customer discovery · sit-with-the-customer workflow instrumentation · ambiguous-scope scoping · rapid prototyping → production · legacy workflow replacement · handover discipline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domain-specific agents (reason / plan / act) · tool use &amp; function calling · structured outputs · MCP servers &amp; connectors · RAG pipelines · multi-agent loops · guardrails · fail-closed recovery · human-in-the-loop gates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Evaluation, quality &amp; model economics: </w:t>
      </w:r>
      <w:r>
        <w:rPr>
          <w:b w:val="0"/>
          <w:color w:val="1A1A1A"/>
          <w:sz w:val="21"/>
        </w:rPr>
        <w:t>eval infrastructure · golden datasets · behavioral assertions · LLM-as-a-judge with written rubrics · success-criteria framing (agents replacing workflows, measured) · frontier + open routing by cost/quality economics · trace intelligence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Python (primary) · TypeScript · SQL · Bash · REST APIs · JSON Schema / Pydantic-style validation · GitHub Actions (CI/CD) · Postgres · per-task latency &amp; token-cost instrumentation · retry logic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Ship working agents into live environments fast: the founding motion is domain-specific agent prototyped with the operator, measured against their real workflow, then hardened — 30-day-style delivery cadence across engagements.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Build the eval infrastructure that measures whether agents replace human workflows — not vibes: golden datasets, behavioral assertions, LLM-as-a-judge with written rubrics, and trace intelligence feeding prompt/retrieval/configuration iteration.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Decide fine-tune vs. prompt vs. RAG vs. agent vs. harness with numbers: model strategy is eval-driven selection and routing across frontier + open models by measured quality, latency, and cost — opinions defended by the data, not the trend. (No weight fine-tuning claimed; the routing and selection economics are the proven part.)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Sit with the operator, watch the workflow, instrument it, rebuild it: embedded scoping turns ambiguous field problems into well-framed agent deployments with clear success criteria.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Make it repeatable: reusable AI-engineering playbooks, model stacks, eval harnesses, and integration patterns — every new engagement inherits the stack and the lessons, not a blank slate.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Connect agents to the real world through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integrations with typed contracts, evidence boundaries, and audit receipts on every tool boundary.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Run an evidence-grade agent control plane across an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 (live-verified 2026-10-20): observability, trace intelligence, recoverable runs — backed by a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suite,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green, and deterministic CI regression gates.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Attributable campaign engine with immutable evidence models and fail-closed GO / NO-GO decisions — the eval gate decides what carries load; written rubrics behind every automated quality decision.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Governed integration layer — 65 authored MCP connectors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Governed tool/API/data-source connections with typed contracts and structured validation on every boundary — the reusable integration layer behind every deployed agent engagement.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Failure posture — </w:t>
      </w:r>
      <w:r>
        <w:rPr>
          <w:b w:val="0"/>
          <w:color w:val="1A1A1A"/>
          <w:sz w:val="21"/>
        </w:rPr>
        <w:t>designed for production, not the demo: instrument the failure modes found in production — stuck loops, bad retrievals, tool misuse, context blowouts — and build the catchers: replay loops, fail-closed gates, recovery restricted to evidence declared before reassessment.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Languages: </w:t>
      </w:r>
      <w:r>
        <w:rPr>
          <w:b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domain-specific agents · tool/function calling · MCP · structured outputs · RAG · eval harnesses · LLM-as-a-judge · trace intelligence · guardrails · fail-closed recovery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Deployed engineering: </w:t>
      </w:r>
      <w:r>
        <w:rPr>
          <w:b w:val="0"/>
          <w:color w:val="1A1A1A"/>
          <w:sz w:val="21"/>
        </w:rPr>
        <w:t>discovery &amp; scoping · workflow instrumentation · rapid prototyping · embedded delivery · field-to-product feedback · handover discipline · technical writing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REST APIs · Postgres · CI/CD (GitHub Actions) · JSON Schema validation · observability · latency &amp; token-cost instrumentation · retry logic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No enterprise customer logos claimed; client-side deployment depth is founder/operator (three years), honestly stated. No weight fine-tuning claimed — model strategy is eval-driven selection and routing. Home-inspector background = construction inspection — physical-economy fluency, not engineering depth. No Go / GCP / GraphQL / K8s / Terraform / DS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