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engineer based in Honolulu. I embed with operators on ambiguous, high-stakes workflows and ship production GenAI systems end to end — retrieval-grounded generation, multi-agent orchestration, evaluation harnesses — from customer scoping to production rollout.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typed state transitions, approval gates, audit receipts, recoverable runs. Trusted-advisor motion with technical and non-technical stakeholders; led customer-facing field inspection operations before moving into AI systems. Open to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RAG pipelines · LLM evaluation harnesses · prompt &amp; context engineering · MCP protocol · human-in-the-loop control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production GenAI rollouts · customer-embedded scoping · verification gates · audit receipts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Forward-deployed motion as executable code (Forward-Deployed-Agentic-Powerhouse): DISCOVER→FRAME→BUILD→INTEGRATE→EVALUATE→PROVE→DEPLOY with evidence receipts — map the operator's workflow, build the narrow end-to-end proof, deepen what carries load.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(unified-memory-mcp, mcp-iceberg-mansion): Mem0, Supermemory, Supabase pgvector, Pinecone, and Neo4j federated behind one MCP interface — parallel fan-out, content-hash dedup; retrieval-grounded generation with provenance.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Multi-agent orchestration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evidence state machine (nominal / recoverable / hard-no-go) with the hard-failure path exiting non-zero and CI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 reliability (apex-control-plane): SHA-256 transport envelopes, idempotency keys, circuit breakers, dead-letter capture; fail-closed startup.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1,395-repository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direct customer-facing technical work with non-technical stakeholders.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Connects multiple technical surfaces — agents, APIs, databases, cloud — into one coherent, verifiable working system.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RAG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 No Databricks-platform or Apache Spark production depth claimed.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