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Tech-lead posture from a founder's seat: I own AI-native domains outright — agent architecture, platform abstractions, evaluation and guardrail infrastructure — setting technical direction, writing the load-bearing design docs, and staying in the code for the hardest parts. Three years shipping production agentic systems from Honolulu: agents with retrieval, orchestration, policy-based routing, tool invocation, evaluation harnesses, and lifecycle observability — production-ready standards held in review: testability, rollback safety, cost ceilings, failure modes, human-in-the-loop boundaries.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My platform layer is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tool/API/data-source connections with typed contracts, structured validation, and audit receipts — plus eval infrastructure (golden datasets, LLM-as-a-judge with written rubrics, regression gates) and reusable patterns every engagement inherits. </w:t>
      </w:r>
      <w:r>
        <w:rPr>
          <w:b w:val="0"/>
          <w:color w:val="1A1A1A"/>
          <w:sz w:val="21"/>
        </w:rPr>
        <w:t>Honest on scope: no weight fine-tuning claimed — eval-driven selection and routing is the proven part; founder/operator (three years, 2023–present), honestly stated.</w:t>
      </w:r>
      <w:r>
        <w:rPr>
          <w:b w:val="0"/>
          <w:color w:val="1A1A1A"/>
          <w:sz w:val="21"/>
        </w:rPr>
        <w:t xml:space="preserve"> No regulated-environment (HIPAA) production claimed — only the engineering posture transfers: data minimization, access controls, audit logging, and staged release discipline as architecture, not afterthoughts.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Technical leadership: </w:t>
      </w:r>
      <w:r>
        <w:rPr>
          <w:b w:val="0"/>
          <w:color w:val="1A1A1A"/>
          <w:sz w:val="21"/>
        </w:rPr>
        <w:t>domain ownership · tech-lead decomposition &amp; sequencing · design docs · load-bearing architectural calls · ambiguity removal · cross-team influence without positional authority · mentorship by review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 architecture: </w:t>
      </w:r>
      <w:r>
        <w:rPr>
          <w:b w:val="0"/>
          <w:color w:val="1A1A1A"/>
          <w:sz w:val="21"/>
        </w:rPr>
        <w:t>production AI agents · retrieval · orchestration · policy-based routing · tool invocation · evaluation harnesses · guardrail infrastructure · lifecycle observability · human-in-the-loop boundaries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AI platform foundations: </w:t>
      </w:r>
      <w:r>
        <w:rPr>
          <w:b w:val="0"/>
          <w:color w:val="1A1A1A"/>
          <w:sz w:val="21"/>
        </w:rPr>
        <w:t>platform abstractions &amp; shared libraries · 65 authored MCP connectors · typed contracts · reusable engineering patterns · privacy/security/compliance as architecture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Cloud-native &amp; full-stack: </w:t>
      </w:r>
      <w:r>
        <w:rPr>
          <w:b w:val="0"/>
          <w:color w:val="1A1A1A"/>
          <w:sz w:val="21"/>
        </w:rPr>
        <w:t>TypeScript/Node.js + Python · SQL (relational fluency) · REST APIs · CI/CD (GitHub Actions) · observability · on-call-ready operations · latency &amp; token-cost instrumentation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Own the technical direction for an AI-native domain end to end: agent architecture, platform abstractions, and evaluation/guardrail infrastructure across an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(live-verified 2026-10-20) — decomposing ambiguous problems, sequencing delivery, clearing blockers, keeping the work pointed at the outcome rather than the ticket.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Ship production AI agents incorporating retrieval, orchestration, policy-based routing, tool invocation, evaluation harnesses, and lifecycle observability — agents that carry real operational load, measured after the fact, not just at demo time.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Set the production-ready bar and hold it: testability, rollback safety, cost ceilings, failure modes, human-in-the-loop boundaries —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suite,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green, deterministic CI regression gates, fail-closed recovery on every deployed agent.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Build the abstraction layers teams build on: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governed MCP connectors plus shared patterns, typed contracts, and structured validation — the reusable platform surface behind every deployed engagement.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Own the evaluation strategy per domain: define the metrics, test harnesses, and evaluation plans that measure agent accuracy, latency, safety, and cost-effectiveness — kill approaches that don't work, early and visibly.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Design for failure and advise as a technologist: instrument production failure modes — stuck loops, bad retrievals, tool misuse, context blowouts — with the catchers (replay loops, fail-closed gates, behavioral assertions), and run design sessions alongside operators and stakeholders so field friction becomes engineering requirements that move the roadmap.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Governed integration layer — 65 authored MCP connectors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Typed contracts and structured validation on every tool boundary — the platform-abstraction discipline, including enterprise-style identity/access patterns: approval gates, access controls, audit receipts.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Evaluation-gated quality — the measure-and-improve loop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Golden datasets, behavioral assertions, LLM-as-a-judge with written rubrics, trace intelligence — the evaluation story behind every shipped agent; fail-closed GO / NO-GO decisions keep regression from carrying load.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Python · TypeScript / Node.js · SQL · Bash · JavaScript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agent workflows · retrieval · orchestration · policy-based routing · tool/function calling · MCP · structured outputs · eval harnesses · guardrails · lifecycle observability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Platform &amp; production: </w:t>
      </w:r>
      <w:r>
        <w:rPr>
          <w:b w:val="0"/>
          <w:color w:val="1A1A1A"/>
          <w:sz w:val="21"/>
        </w:rPr>
        <w:t>platform abstractions · shared libraries · CI/CD (GitHub Actions) · Postgres · observability · retry logic · latency &amp; token-cost instrumentation · design docs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Founder/operator depth (three years, 2023–present), honestly stated — no enterprise customer logos, no enterprise-account track record invented. No weight fine-tuning claimed — model strategy is eval-driven selection and routing. No Go / GCP / GraphQL / K8s / Terraform / data-science-statistics depth claimed.</w:t>
      </w:r>
      <w:r>
        <w:rPr>
          <w:b w:val="0"/>
          <w:color w:val="1A1A1A"/>
          <w:sz w:val="21"/>
        </w:rPr>
        <w:t xml:space="preserve"> Founder/operator depth is three years, 2023–present — stated against the JD's 8+ years (see REVIEW_REQUIRED.txt). No regulated/HIPAA production claimed; compliance-as-architecture is engineering practice, not domain experience.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