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0" w:type="dxa"/>
      </w:tblPr>
      <w:tblGrid>
        <w:gridCol w:w="7128"/>
        <w:gridCol w:w="3096"/>
      </w:tblGrid>
      <w:tr>
        <w:tc>
          <w:tcPr>
            <w:tcW w:type="dxa" w:w="5112"/>
            <w:shd w:fill="0B2028"/>
            <w:tcMar>
              <w:top w:w="11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Carlito" w:hAnsi="Carlito" w:eastAsia="Carlito"/>
                <w:b/>
                <w:i w:val="0"/>
                <w:color w:val="FFFFFF"/>
                <w:sz w:val="38"/>
              </w:rPr>
              <w:t>CASEY DEL CARPIO BARTON</w:t>
            </w:r>
          </w:p>
          <w:p>
            <w:pPr>
              <w:spacing w:before="0" w:after="40" w:line="240" w:lineRule="auto"/>
            </w:pPr>
            <w:r>
              <w:rPr>
                <w:rFonts w:ascii="Carlito" w:hAnsi="Carlito" w:eastAsia="Carlito"/>
                <w:b/>
                <w:i w:val="0"/>
                <w:color w:val="7DEAD4"/>
                <w:sz w:val="20"/>
              </w:rPr>
              <w:t>APPLIED AI SYSTEMS ARCHITECT</w:t>
            </w:r>
            <w:r>
              <w:rPr>
                <w:rFonts w:ascii="Carlito" w:hAnsi="Carlito" w:eastAsia="Carlito"/>
                <w:b w:val="0"/>
                <w:i w:val="0"/>
                <w:color w:val="D7E4E7"/>
                <w:sz w:val="17"/>
              </w:rPr>
              <w:t xml:space="preserve">  |  Agent Infrastructure Engineer</w:t>
            </w:r>
          </w:p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C1D1D5"/>
                <w:sz w:val="16"/>
              </w:rPr>
              <w:t>Forward-Deployed AI  |  Builds the operating layer that makes powerful AI dependable enough to use.</w:t>
            </w:r>
          </w:p>
        </w:tc>
        <w:tc>
          <w:tcPr>
            <w:tcW w:type="dxa" w:w="5112"/>
            <w:shd w:fill="0B2028"/>
            <w:tcMar>
              <w:top w:w="115" w:type="dxa"/>
              <w:start w:w="125" w:type="dxa"/>
              <w:bottom w:w="105" w:type="dxa"/>
              <w:end w:w="125" w:type="dxa"/>
            </w:tcMar>
            <w:vAlign w:val="center"/>
          </w:tcPr>
          <w:p>
            <w:pPr>
              <w:spacing w:before="0" w:after="40" w:line="240" w:lineRule="auto"/>
              <w:jc w:val="right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Honolulu, Hawaii</w:t>
            </w:r>
          </w:p>
          <w:p>
            <w:pPr>
              <w:spacing w:before="0" w:after="0" w:line="240" w:lineRule="auto"/>
              <w:jc w:val="right"/>
            </w:pPr>
            <w:hyperlink r:id="rId9">
              <w:r>
                <w:rPr>
                  <w:color w:val="D7E4E7"/>
                  <w:u w:val="none"/>
                  <w:sz w:val="16"/>
                  <w:szCs w:val="16"/>
                  <w:rFonts w:ascii="Carlito" w:hAnsi="Carlito"/>
                </w:rPr>
                <w:t>808-936-5654</w:t>
              </w:r>
            </w:hyperlink>
          </w:p>
          <w:p>
            <w:pPr>
              <w:spacing w:before="0" w:after="0" w:line="240" w:lineRule="auto"/>
              <w:jc w:val="right"/>
            </w:pPr>
            <w:hyperlink r:id="rId10">
              <w:r>
                <w:rPr>
                  <w:color w:val="D7E4E7"/>
                  <w:u w:val="none"/>
                  <w:sz w:val="16"/>
                  <w:szCs w:val="16"/>
                  <w:rFonts w:ascii="Carlito" w:hAnsi="Carlito"/>
                </w:rPr>
                <w:t>glacier.equilibrium@gmail.com</w:t>
              </w:r>
            </w:hyperlink>
          </w:p>
          <w:p>
            <w:pPr>
              <w:spacing w:before="0" w:after="0" w:line="240" w:lineRule="auto"/>
              <w:jc w:val="right"/>
            </w:pPr>
            <w:hyperlink r:id="rId11">
              <w:r>
                <w:rPr>
                  <w:color w:val="D7E4E7"/>
                  <w:u w:val="none"/>
                  <w:sz w:val="16"/>
                  <w:szCs w:val="16"/>
                  <w:rFonts w:ascii="Carlito" w:hAnsi="Carlito"/>
                </w:rPr>
                <w:t>casey-barton-glaciereq.vercel.app</w:t>
              </w:r>
            </w:hyperlink>
          </w:p>
          <w:p>
            <w:pPr>
              <w:spacing w:before="0" w:after="0" w:line="240" w:lineRule="auto"/>
              <w:jc w:val="right"/>
            </w:pPr>
            <w:hyperlink r:id="rId12">
              <w:r>
                <w:rPr>
                  <w:color w:val="D7E4E7"/>
                  <w:u w:val="none"/>
                  <w:sz w:val="16"/>
                  <w:szCs w:val="16"/>
                  <w:rFonts w:ascii="Carlito" w:hAnsi="Carlito"/>
                </w:rPr>
                <w:t>github.com/GlacierEQ</w:t>
              </w:r>
            </w:hyperlink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CellSpacing w:w="0" w:type="dxa"/>
      </w:tblPr>
      <w:tblGrid>
        <w:gridCol w:w="10224"/>
      </w:tblGrid>
      <w:tr>
        <w:tc>
          <w:tcPr>
            <w:tcW w:type="dxa" w:w="10224"/>
            <w:shd w:fill="EEF6F4"/>
            <w:tcMar>
              <w:top w:w="80" w:type="dxa"/>
              <w:start w:w="105" w:type="dxa"/>
              <w:bottom w:w="80" w:type="dxa"/>
              <w:end w:w="105" w:type="dxa"/>
            </w:tcMar>
            <w:tcBorders>
              <w:top w:val="single" w:sz="5" w:color="087A73"/>
              <w:left w:val="single" w:sz="5" w:color="087A73"/>
              <w:bottom w:val="single" w:sz="5" w:color="087A73"/>
              <w:right w:val="single" w:sz="5" w:color="087A73"/>
            </w:tcBorders>
          </w:tcPr>
          <w:p>
            <w:pPr>
              <w:spacing w:before="0" w:after="40" w:line="240" w:lineRule="auto"/>
            </w:pPr>
            <w:r>
              <w:rPr>
                <w:rFonts w:ascii="Carlito" w:hAnsi="Carlito" w:eastAsia="Carlito"/>
                <w:b/>
                <w:i w:val="0"/>
                <w:color w:val="087A73"/>
                <w:sz w:val="14"/>
              </w:rPr>
              <w:t>SYSTEMS SIGNAL</w:t>
            </w:r>
          </w:p>
          <w:p>
            <w:pPr>
              <w:spacing w:before="0" w:after="0" w:line="252" w:lineRule="auto"/>
            </w:pPr>
            <w:r>
              <w:rPr>
                <w:rFonts w:ascii="Carlito" w:hAnsi="Carlito" w:eastAsia="Carlito"/>
                <w:b w:val="0"/>
                <w:i w:val="0"/>
                <w:color w:val="14232A"/>
                <w:sz w:val="18"/>
              </w:rPr>
              <w:t>Applied AI systems architect who turns ambitious, ambiguous ideas into bounded operating systems with explicit authority, deterministic evidence, controlled failure behavior, and inspectable completion receipts. The method is simple: observe the actual system, separate evidence from inference, isolate the governing failure, build the narrowest useful mechanism, test the stated behavior, expose the limit, and leave a usable artifact.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0" w:type="dxa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7FAF9"/>
            <w:tcMar>
              <w:top w:w="55" w:type="dxa"/>
              <w:start w:w="35" w:type="dxa"/>
              <w:bottom w:w="55" w:type="dxa"/>
              <w:end w:w="35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Carlito" w:hAnsi="Carlito" w:eastAsia="Carlito"/>
                <w:b/>
                <w:i w:val="0"/>
                <w:color w:val="087A73"/>
                <w:sz w:val="28"/>
              </w:rPr>
              <w:t>69/69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5B6D75"/>
                <w:sz w:val="14"/>
              </w:rPr>
              <w:t>Receipt Router tests</w:t>
            </w:r>
          </w:p>
        </w:tc>
        <w:tc>
          <w:tcPr>
            <w:tcW w:type="dxa" w:w="2556"/>
            <w:shd w:fill="EEF6F4"/>
            <w:tcMar>
              <w:top w:w="55" w:type="dxa"/>
              <w:start w:w="35" w:type="dxa"/>
              <w:bottom w:w="55" w:type="dxa"/>
              <w:end w:w="35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Carlito" w:hAnsi="Carlito" w:eastAsia="Carlito"/>
                <w:b/>
                <w:i w:val="0"/>
                <w:color w:val="087A73"/>
                <w:sz w:val="28"/>
              </w:rPr>
              <w:t>166 + 19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5B6D75"/>
                <w:sz w:val="14"/>
              </w:rPr>
              <w:t>source + memory tests</w:t>
            </w:r>
          </w:p>
        </w:tc>
        <w:tc>
          <w:tcPr>
            <w:tcW w:type="dxa" w:w="2556"/>
            <w:shd w:fill="F7FAF9"/>
            <w:tcMar>
              <w:top w:w="55" w:type="dxa"/>
              <w:start w:w="35" w:type="dxa"/>
              <w:bottom w:w="55" w:type="dxa"/>
              <w:end w:w="35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Carlito" w:hAnsi="Carlito" w:eastAsia="Carlito"/>
                <w:b/>
                <w:i w:val="0"/>
                <w:color w:val="087A73"/>
                <w:sz w:val="28"/>
              </w:rPr>
              <w:t>67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5B6D75"/>
                <w:sz w:val="14"/>
              </w:rPr>
              <w:t>Helix admitted public set</w:t>
            </w:r>
          </w:p>
        </w:tc>
        <w:tc>
          <w:tcPr>
            <w:tcW w:type="dxa" w:w="2556"/>
            <w:shd w:fill="EEF6F4"/>
            <w:tcMar>
              <w:top w:w="55" w:type="dxa"/>
              <w:start w:w="35" w:type="dxa"/>
              <w:bottom w:w="55" w:type="dxa"/>
              <w:end w:w="35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20" w:line="240" w:lineRule="auto"/>
              <w:jc w:val="center"/>
            </w:pPr>
            <w:r>
              <w:rPr>
                <w:rFonts w:ascii="Carlito" w:hAnsi="Carlito" w:eastAsia="Carlito"/>
                <w:b/>
                <w:i w:val="0"/>
                <w:color w:val="087A73"/>
                <w:sz w:val="28"/>
              </w:rPr>
              <w:t>95/95</w:t>
            </w:r>
          </w:p>
          <w:p>
            <w:pPr>
              <w:spacing w:before="0" w:after="0" w:line="228" w:lineRule="auto"/>
              <w:jc w:val="center"/>
            </w:pPr>
            <w:r>
              <w:rPr>
                <w:rFonts w:ascii="Carlito" w:hAnsi="Carlito" w:eastAsia="Carlito"/>
                <w:b w:val="0"/>
                <w:i w:val="0"/>
                <w:color w:val="5B6D75"/>
                <w:sz w:val="14"/>
              </w:rPr>
              <w:t>Agent Coordinator tests</w:t>
            </w:r>
          </w:p>
        </w:tc>
      </w:tr>
    </w:tbl>
    <w:p>
      <w:pPr>
        <w:spacing w:before="140" w:after="20" w:line="240" w:lineRule="auto"/>
      </w:pPr>
      <w:r>
        <w:rPr>
          <w:rFonts w:ascii="Carlito" w:hAnsi="Carlito" w:eastAsia="Carlito"/>
          <w:b/>
          <w:i w:val="0"/>
          <w:color w:val="087A73"/>
          <w:sz w:val="14"/>
        </w:rPr>
        <w:t>PROOF AT WORK</w:t>
      </w:r>
    </w:p>
    <w:p>
      <w:pPr>
        <w:spacing w:before="0" w:after="80" w:line="240" w:lineRule="auto"/>
        <w:pBdr>
          <w:bottom w:val="single" w:sz="8" w:space="2" w:color="087A73"/>
        </w:pBdr>
      </w:pPr>
      <w:r>
        <w:rPr>
          <w:rFonts w:ascii="Carlito" w:hAnsi="Carlito" w:eastAsia="Carlito"/>
          <w:b/>
          <w:i w:val="0"/>
          <w:color w:val="14232A"/>
          <w:sz w:val="26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0" w:type="dxa"/>
      </w:tblPr>
      <w:tblGrid>
        <w:gridCol w:w="8064"/>
        <w:gridCol w:w="2160"/>
      </w:tblGrid>
      <w:tr>
        <w:tc>
          <w:tcPr>
            <w:tcW w:type="dxa" w:w="5112"/>
            <w:tcMar>
              <w:top w:w="25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/>
                <w:i w:val="0"/>
                <w:color w:val="14232A"/>
                <w:sz w:val="20"/>
              </w:rPr>
              <w:t>GlacierEQ</w:t>
            </w:r>
            <w:r>
              <w:rPr>
                <w:rFonts w:ascii="Carlito" w:hAnsi="Carlito" w:eastAsia="Carlito"/>
                <w:b w:val="0"/>
                <w:i w:val="0"/>
                <w:color w:val="5B6D75"/>
                <w:sz w:val="18"/>
              </w:rPr>
              <w:t xml:space="preserve">  |  </w:t>
            </w:r>
            <w:r>
              <w:rPr>
                <w:rFonts w:ascii="Carlito" w:hAnsi="Carlito" w:eastAsia="Carlito"/>
                <w:b/>
                <w:i w:val="0"/>
                <w:color w:val="087A73"/>
                <w:sz w:val="18"/>
              </w:rPr>
              <w:t>Founder / Applied AI Systems Builder</w:t>
            </w:r>
          </w:p>
        </w:tc>
        <w:tc>
          <w:tcPr>
            <w:tcW w:type="dxa" w:w="5112"/>
            <w:tcMar>
              <w:top w:w="25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rlito" w:hAnsi="Carlito" w:eastAsia="Carlito"/>
                <w:b/>
                <w:i w:val="0"/>
                <w:color w:val="5B6D75"/>
                <w:sz w:val="16"/>
              </w:rPr>
              <w:t>2023-Present</w:t>
            </w:r>
          </w:p>
        </w:tc>
      </w:tr>
    </w:tbl>
    <w:p>
      <w:pPr>
        <w:pStyle w:val="ListBullet"/>
        <w:spacing w:before="0" w:after="14" w:line="247" w:lineRule="auto"/>
        <w:ind w:left="259" w:hanging="202"/>
      </w:pPr>
      <w:r>
        <w:rPr>
          <w:rFonts w:ascii="Carlito" w:hAnsi="Carlito" w:eastAsia="Carlito"/>
          <w:b w:val="0"/>
          <w:i w:val="0"/>
          <w:color w:val="14232A"/>
          <w:sz w:val="17"/>
        </w:rPr>
        <w:t>Design and implement evidence-bound systems spanning agent orchestration, application intelligence, document and evidence pipelines, memory and continuity, infrastructure governance, and human-machine interfaces.</w:t>
      </w:r>
    </w:p>
    <w:p>
      <w:pPr>
        <w:pStyle w:val="ListBullet"/>
        <w:spacing w:before="0" w:after="14" w:line="247" w:lineRule="auto"/>
        <w:ind w:left="259" w:hanging="202"/>
      </w:pPr>
      <w:r>
        <w:rPr>
          <w:rFonts w:ascii="Carlito" w:hAnsi="Carlito" w:eastAsia="Carlito"/>
          <w:b w:val="0"/>
          <w:i w:val="0"/>
          <w:color w:val="14232A"/>
          <w:sz w:val="17"/>
        </w:rPr>
        <w:t>Convert broad architecture into typed contracts, runnable slices, deterministic tests, explicit refusal behavior, machine-readable facts, and reviewable completion receipts.</w:t>
      </w:r>
    </w:p>
    <w:p>
      <w:pPr>
        <w:pStyle w:val="ListBullet"/>
        <w:spacing w:before="0" w:after="14" w:line="247" w:lineRule="auto"/>
        <w:ind w:left="259" w:hanging="202"/>
      </w:pPr>
      <w:r>
        <w:rPr>
          <w:rFonts w:ascii="Carlito" w:hAnsi="Carlito" w:eastAsia="Carlito"/>
          <w:b w:val="0"/>
          <w:i w:val="0"/>
          <w:color w:val="14232A"/>
          <w:sz w:val="17"/>
        </w:rPr>
        <w:t>Built a public Portfolio Receipt Router that replaced unsupported autonomous-control semantics with a local fail-closed evidence system; 69/69 tests passed through direct and reusable CI with zero external actions.</w:t>
      </w:r>
    </w:p>
    <w:p>
      <w:pPr>
        <w:pStyle w:val="ListBullet"/>
        <w:spacing w:before="0" w:after="14" w:line="247" w:lineRule="auto"/>
        <w:ind w:left="259" w:hanging="202"/>
      </w:pPr>
      <w:r>
        <w:rPr>
          <w:rFonts w:ascii="Carlito" w:hAnsi="Carlito" w:eastAsia="Carlito"/>
          <w:b w:val="0"/>
          <w:i w:val="0"/>
          <w:color w:val="14232A"/>
          <w:sz w:val="17"/>
        </w:rPr>
        <w:t>Govern a multi-repository engineering estate by separating source presence, review, execution, deployment, authority, and verified completion so public claims cannot outrun proof.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0" w:type="dxa"/>
      </w:tblPr>
      <w:tblGrid>
        <w:gridCol w:w="8064"/>
        <w:gridCol w:w="2160"/>
      </w:tblGrid>
      <w:tr>
        <w:tc>
          <w:tcPr>
            <w:tcW w:type="dxa" w:w="5112"/>
            <w:tcMar>
              <w:top w:w="25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/>
                <w:i w:val="0"/>
                <w:color w:val="14232A"/>
                <w:sz w:val="20"/>
              </w:rPr>
              <w:t>Diamond Head Home Inspections</w:t>
            </w:r>
            <w:r>
              <w:rPr>
                <w:rFonts w:ascii="Carlito" w:hAnsi="Carlito" w:eastAsia="Carlito"/>
                <w:b w:val="0"/>
                <w:i w:val="0"/>
                <w:color w:val="5B6D75"/>
                <w:sz w:val="18"/>
              </w:rPr>
              <w:t xml:space="preserve">  |  </w:t>
            </w:r>
            <w:r>
              <w:rPr>
                <w:rFonts w:ascii="Carlito" w:hAnsi="Carlito" w:eastAsia="Carlito"/>
                <w:b/>
                <w:i w:val="0"/>
                <w:color w:val="087A73"/>
                <w:sz w:val="18"/>
              </w:rPr>
              <w:t>Certified Home Inspector</w:t>
            </w:r>
          </w:p>
        </w:tc>
        <w:tc>
          <w:tcPr>
            <w:tcW w:type="dxa" w:w="5112"/>
            <w:tcMar>
              <w:top w:w="25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rlito" w:hAnsi="Carlito" w:eastAsia="Carlito"/>
                <w:b/>
                <w:i w:val="0"/>
                <w:color w:val="5B6D75"/>
                <w:sz w:val="16"/>
              </w:rPr>
              <w:t>2020-2024</w:t>
            </w:r>
          </w:p>
        </w:tc>
      </w:tr>
    </w:tbl>
    <w:p>
      <w:pPr>
        <w:pStyle w:val="ListBullet"/>
        <w:spacing w:before="0" w:after="14" w:line="247" w:lineRule="auto"/>
        <w:ind w:left="259" w:hanging="202"/>
      </w:pPr>
      <w:r>
        <w:rPr>
          <w:rFonts w:ascii="Carlito" w:hAnsi="Carlito" w:eastAsia="Carlito"/>
          <w:b w:val="0"/>
          <w:i w:val="0"/>
          <w:color w:val="14232A"/>
          <w:sz w:val="17"/>
        </w:rPr>
        <w:t>Inspected residential structural, roofing, electrical, plumbing, HVAC, moisture, and safety conditions; translated field evidence into clear, decision-ready reports under time constraints.</w:t>
      </w:r>
    </w:p>
    <w:p>
      <w:pPr>
        <w:pStyle w:val="ListBullet"/>
        <w:spacing w:before="0" w:after="14" w:line="247" w:lineRule="auto"/>
        <w:ind w:left="259" w:hanging="202"/>
      </w:pPr>
      <w:r>
        <w:rPr>
          <w:rFonts w:ascii="Carlito" w:hAnsi="Carlito" w:eastAsia="Carlito"/>
          <w:b w:val="0"/>
          <w:i w:val="0"/>
          <w:color w:val="14232A"/>
          <w:sz w:val="17"/>
        </w:rPr>
        <w:t>Built disciplined habits around uncertainty labeling, defect prioritization, interacting-system analysis, client communication, and avoiding unsupported conclusions.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0" w:type="dxa"/>
      </w:tblPr>
      <w:tblGrid>
        <w:gridCol w:w="8064"/>
        <w:gridCol w:w="2160"/>
      </w:tblGrid>
      <w:tr>
        <w:tc>
          <w:tcPr>
            <w:tcW w:type="dxa" w:w="5112"/>
            <w:tcMar>
              <w:top w:w="25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/>
                <w:i w:val="0"/>
                <w:color w:val="14232A"/>
                <w:sz w:val="20"/>
              </w:rPr>
              <w:t>Hi-Class Home Services / Hi Class Maintenance Oahu LLC</w:t>
            </w:r>
            <w:r>
              <w:rPr>
                <w:rFonts w:ascii="Carlito" w:hAnsi="Carlito" w:eastAsia="Carlito"/>
                <w:b w:val="0"/>
                <w:i w:val="0"/>
                <w:color w:val="5B6D75"/>
                <w:sz w:val="18"/>
              </w:rPr>
              <w:t xml:space="preserve">  |  </w:t>
            </w:r>
            <w:r>
              <w:rPr>
                <w:rFonts w:ascii="Carlito" w:hAnsi="Carlito" w:eastAsia="Carlito"/>
                <w:b/>
                <w:i w:val="0"/>
                <w:color w:val="087A73"/>
                <w:sz w:val="18"/>
              </w:rPr>
              <w:t>Owner-Operator, Building Systems &amp; Field Services</w:t>
            </w:r>
          </w:p>
        </w:tc>
        <w:tc>
          <w:tcPr>
            <w:tcW w:type="dxa" w:w="5112"/>
            <w:tcMar>
              <w:top w:w="25" w:type="dxa"/>
              <w:start w:w="0" w:type="dxa"/>
              <w:bottom w:w="10" w:type="dxa"/>
              <w:end w:w="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rlito" w:hAnsi="Carlito" w:eastAsia="Carlito"/>
                <w:b/>
                <w:i w:val="0"/>
                <w:color w:val="5B6D75"/>
                <w:sz w:val="16"/>
              </w:rPr>
              <w:t>2017-Present</w:t>
            </w:r>
          </w:p>
        </w:tc>
      </w:tr>
    </w:tbl>
    <w:p>
      <w:pPr>
        <w:pStyle w:val="ListBullet"/>
        <w:spacing w:before="0" w:after="14" w:line="247" w:lineRule="auto"/>
        <w:ind w:left="259" w:hanging="202"/>
      </w:pPr>
      <w:r>
        <w:rPr>
          <w:rFonts w:ascii="Carlito" w:hAnsi="Carlito" w:eastAsia="Carlito"/>
          <w:b w:val="0"/>
          <w:i w:val="0"/>
          <w:color w:val="14232A"/>
          <w:sz w:val="17"/>
        </w:rPr>
        <w:t>Scope residential repair and service work, prepare estimates, coordinate execution, and communicate assumptions, constraints, and completion status with clients.</w:t>
      </w:r>
    </w:p>
    <w:p>
      <w:pPr>
        <w:pStyle w:val="ListBullet"/>
        <w:spacing w:before="0" w:after="14" w:line="247" w:lineRule="auto"/>
        <w:ind w:left="259" w:hanging="202"/>
      </w:pPr>
      <w:r>
        <w:rPr>
          <w:rFonts w:ascii="Carlito" w:hAnsi="Carlito" w:eastAsia="Carlito"/>
          <w:b w:val="0"/>
          <w:i w:val="0"/>
          <w:color w:val="14232A"/>
          <w:sz w:val="17"/>
        </w:rPr>
        <w:t>Translate incomplete real-world requirements into bounded work packages, explicit assumptions, and usable closeout artifacts.</w:t>
      </w:r>
    </w:p>
    <w:p>
      <w:pPr>
        <w:spacing w:before="140" w:after="20" w:line="240" w:lineRule="auto"/>
      </w:pPr>
      <w:r>
        <w:rPr>
          <w:rFonts w:ascii="Carlito" w:hAnsi="Carlito" w:eastAsia="Carlito"/>
          <w:b/>
          <w:i w:val="0"/>
          <w:color w:val="087A73"/>
          <w:sz w:val="14"/>
        </w:rPr>
        <w:t>CAPABILITY FIELD</w:t>
      </w:r>
    </w:p>
    <w:p>
      <w:pPr>
        <w:spacing w:before="0" w:after="80" w:line="240" w:lineRule="auto"/>
        <w:pBdr>
          <w:bottom w:val="single" w:sz="8" w:space="2" w:color="087A73"/>
        </w:pBdr>
      </w:pPr>
      <w:r>
        <w:rPr>
          <w:rFonts w:ascii="Carlito" w:hAnsi="Carlito" w:eastAsia="Carlito"/>
          <w:b/>
          <w:i w:val="0"/>
          <w:color w:val="14232A"/>
          <w:sz w:val="26"/>
        </w:rPr>
        <w:t>Core Capabilities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0" w:type="dxa"/>
      </w:tblPr>
      <w:tblGrid>
        <w:gridCol w:w="5112"/>
        <w:gridCol w:w="5112"/>
      </w:tblGrid>
      <w:tr>
        <w:tc>
          <w:tcPr>
            <w:tcW w:type="dxa" w:w="5112"/>
            <w:shd w:fill="EEF6F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40" w:line="240" w:lineRule="auto"/>
            </w:pPr>
            <w:r>
              <w:rPr>
                <w:rFonts w:ascii="Carlito" w:hAnsi="Carlito" w:eastAsia="Carlito"/>
                <w:b/>
                <w:i w:val="0"/>
                <w:color w:val="087A73"/>
                <w:sz w:val="16"/>
              </w:rPr>
              <w:t>Agent infrastructure &amp; governance</w:t>
            </w:r>
          </w:p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4232A"/>
                <w:sz w:val="15"/>
              </w:rPr>
              <w:t>Multi-agent coordination; MCP and tool contracts; capability/authority separation; approval models; state machines; bounded retries; recovery and closure.</w:t>
            </w:r>
          </w:p>
        </w:tc>
        <w:tc>
          <w:tcPr>
            <w:tcW w:type="dxa" w:w="5112"/>
            <w:shd w:fill="F7FAF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40" w:line="240" w:lineRule="auto"/>
            </w:pPr>
            <w:r>
              <w:rPr>
                <w:rFonts w:ascii="Carlito" w:hAnsi="Carlito" w:eastAsia="Carlito"/>
                <w:b/>
                <w:i w:val="0"/>
                <w:color w:val="087A73"/>
                <w:sz w:val="16"/>
              </w:rPr>
              <w:t>Evidence &amp; release engineering</w:t>
            </w:r>
          </w:p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4232A"/>
                <w:sz w:val="15"/>
              </w:rPr>
              <w:t>Provenance; claim-to-source mapping; deterministic testing; JSON Schema; CI/CD; static analysis; dependency auditing; integrity hashing; machine-readable receipts.</w:t>
            </w:r>
          </w:p>
        </w:tc>
      </w:tr>
      <w:tr>
        <w:tc>
          <w:tcPr>
            <w:tcW w:type="dxa" w:w="5112"/>
            <w:shd w:fill="F7FAF9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40" w:line="240" w:lineRule="auto"/>
            </w:pPr>
            <w:r>
              <w:rPr>
                <w:rFonts w:ascii="Carlito" w:hAnsi="Carlito" w:eastAsia="Carlito"/>
                <w:b/>
                <w:i w:val="0"/>
                <w:color w:val="087A73"/>
                <w:sz w:val="16"/>
              </w:rPr>
              <w:t>Application &amp; document intelligence</w:t>
            </w:r>
          </w:p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4232A"/>
                <w:sz w:val="15"/>
              </w:rPr>
              <w:t>Role research; evidence-qualified resume generation; document extraction; structured artifacts; human and machine presentation surfaces.</w:t>
            </w:r>
          </w:p>
        </w:tc>
        <w:tc>
          <w:tcPr>
            <w:tcW w:type="dxa" w:w="5112"/>
            <w:shd w:fill="EEF6F4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40" w:line="240" w:lineRule="auto"/>
            </w:pPr>
            <w:r>
              <w:rPr>
                <w:rFonts w:ascii="Carlito" w:hAnsi="Carlito" w:eastAsia="Carlito"/>
                <w:b/>
                <w:i w:val="0"/>
                <w:color w:val="087A73"/>
                <w:sz w:val="16"/>
              </w:rPr>
              <w:t>Primary technology</w:t>
            </w:r>
          </w:p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4232A"/>
                <w:sz w:val="15"/>
              </w:rPr>
              <w:t>Python; TypeScript; JavaScript; SQL; Bash; Node.js; React; Next.js; FastAPI; REST; JSON-RPC 2.0; MCP; GitHub Actions; Docker; Vercel.</w:t>
            </w:r>
          </w:p>
        </w:tc>
      </w:tr>
    </w:tbl>
    <w:p>
      <w:r>
        <w:br w:type="page"/>
      </w:r>
    </w:p>
    <w:p>
      <w:pPr>
        <w:spacing w:before="140" w:after="20" w:line="240" w:lineRule="auto"/>
      </w:pPr>
      <w:r>
        <w:rPr>
          <w:rFonts w:ascii="Carlito" w:hAnsi="Carlito" w:eastAsia="Carlito"/>
          <w:b/>
          <w:i w:val="0"/>
          <w:color w:val="087A73"/>
          <w:sz w:val="14"/>
        </w:rPr>
        <w:t>SELECTED SYSTEMS</w:t>
      </w:r>
    </w:p>
    <w:p>
      <w:pPr>
        <w:spacing w:before="0" w:after="80" w:line="240" w:lineRule="auto"/>
        <w:pBdr>
          <w:bottom w:val="single" w:sz="8" w:space="2" w:color="087A73"/>
        </w:pBdr>
      </w:pPr>
      <w:r>
        <w:rPr>
          <w:rFonts w:ascii="Carlito" w:hAnsi="Carlito" w:eastAsia="Carlito"/>
          <w:b/>
          <w:i w:val="0"/>
          <w:color w:val="14232A"/>
          <w:sz w:val="26"/>
        </w:rPr>
        <w:t>Evidence states, not hype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0" w:type="dxa"/>
      </w:tblPr>
      <w:tblGrid>
        <w:gridCol w:w="4680"/>
        <w:gridCol w:w="5544"/>
      </w:tblGrid>
      <w:tr>
        <w:tc>
          <w:tcPr>
            <w:tcW w:type="dxa" w:w="5112"/>
            <w:shd w:fill="EEF6F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20" w:line="240" w:lineRule="auto"/>
            </w:pPr>
            <w:r>
              <w:rPr>
                <w:rFonts w:ascii="Carlito" w:hAnsi="Carlito" w:eastAsia="Carlito"/>
                <w:b/>
                <w:i w:val="0"/>
                <w:color w:val="14232A"/>
                <w:sz w:val="19"/>
              </w:rPr>
              <w:t>Portfolio Receipt Router</w:t>
            </w:r>
          </w:p>
          <w:p>
            <w:pPr>
              <w:spacing w:before="0" w:after="40" w:line="240" w:lineRule="auto"/>
            </w:pPr>
            <w:r>
              <w:rPr>
                <w:rFonts w:ascii="Carlito" w:hAnsi="Carlito" w:eastAsia="Carlito"/>
                <w:b/>
                <w:i w:val="0"/>
                <w:color w:val="087A73"/>
                <w:sz w:val="14"/>
              </w:rPr>
              <w:t>TEST VERIFIED</w:t>
            </w:r>
          </w:p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4232A"/>
                <w:sz w:val="15"/>
              </w:rPr>
              <w:t>Fail-closed evidence routing and compatibility-safe architecture repair.</w:t>
            </w:r>
          </w:p>
        </w:tc>
        <w:tc>
          <w:tcPr>
            <w:tcW w:type="dxa" w:w="5112"/>
            <w:shd w:fill="EEF6F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20" w:line="240" w:lineRule="auto"/>
            </w:pPr>
            <w:r>
              <w:rPr>
                <w:rFonts w:ascii="Carlito" w:hAnsi="Carlito" w:eastAsia="Carlito"/>
                <w:b/>
                <w:i w:val="0"/>
                <w:color w:val="087A73"/>
                <w:sz w:val="14"/>
              </w:rPr>
              <w:t>EVIDENCE</w:t>
            </w:r>
          </w:p>
          <w:p>
            <w:pPr>
              <w:spacing w:before="0" w:after="6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4232A"/>
                <w:sz w:val="15"/>
              </w:rPr>
              <w:t>69/69 tests; direct and reusable CI; artifact 8910423397; zero external actions.</w:t>
            </w:r>
          </w:p>
          <w:p>
            <w:pPr>
              <w:spacing w:before="0" w:after="20" w:line="240" w:lineRule="auto"/>
            </w:pPr>
            <w:r>
              <w:rPr>
                <w:rFonts w:ascii="Carlito" w:hAnsi="Carlito" w:eastAsia="Carlito"/>
                <w:b/>
                <w:i w:val="0"/>
                <w:color w:val="A56600"/>
                <w:sz w:val="14"/>
              </w:rPr>
              <w:t>BOUNDARY</w:t>
            </w:r>
          </w:p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5B6D75"/>
                <w:sz w:val="15"/>
              </w:rPr>
              <w:t>Independent technical exhibit; no production-operation or company-affiliation claim.</w:t>
            </w:r>
          </w:p>
        </w:tc>
      </w:tr>
      <w:tr>
        <w:tc>
          <w:tcPr>
            <w:tcW w:type="dxa" w:w="5112"/>
            <w:shd w:fill="F7FAF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20" w:line="240" w:lineRule="auto"/>
            </w:pPr>
            <w:r>
              <w:rPr>
                <w:rFonts w:ascii="Carlito" w:hAnsi="Carlito" w:eastAsia="Carlito"/>
                <w:b/>
                <w:i w:val="0"/>
                <w:color w:val="14232A"/>
                <w:sz w:val="19"/>
              </w:rPr>
              <w:t>Job Application Helix</w:t>
            </w:r>
          </w:p>
          <w:p>
            <w:pPr>
              <w:spacing w:before="0" w:after="40" w:line="240" w:lineRule="auto"/>
            </w:pPr>
            <w:r>
              <w:rPr>
                <w:rFonts w:ascii="Carlito" w:hAnsi="Carlito" w:eastAsia="Carlito"/>
                <w:b/>
                <w:i w:val="0"/>
                <w:color w:val="087A73"/>
                <w:sz w:val="14"/>
              </w:rPr>
              <w:t>PARTIALLY VERIFIED</w:t>
            </w:r>
          </w:p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4232A"/>
                <w:sz w:val="15"/>
              </w:rPr>
              <w:t>Evidence-governed hiring and portfolio orchestration with an exact 67-repository admitted public proof boundary.</w:t>
            </w:r>
          </w:p>
        </w:tc>
        <w:tc>
          <w:tcPr>
            <w:tcW w:type="dxa" w:w="5112"/>
            <w:shd w:fill="F7FAF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20" w:line="240" w:lineRule="auto"/>
            </w:pPr>
            <w:r>
              <w:rPr>
                <w:rFonts w:ascii="Carlito" w:hAnsi="Carlito" w:eastAsia="Carlito"/>
                <w:b/>
                <w:i w:val="0"/>
                <w:color w:val="087A73"/>
                <w:sz w:val="14"/>
              </w:rPr>
              <w:t>EVIDENCE</w:t>
            </w:r>
          </w:p>
          <w:p>
            <w:pPr>
              <w:spacing w:before="0" w:after="6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4232A"/>
                <w:sz w:val="15"/>
              </w:rPr>
              <w:t>Fail-closed evidence levels, repository-state separation, promotion gates, machine contracts, and role-calibrated package generation.</w:t>
            </w:r>
          </w:p>
          <w:p>
            <w:pPr>
              <w:spacing w:before="0" w:after="20" w:line="240" w:lineRule="auto"/>
            </w:pPr>
            <w:r>
              <w:rPr>
                <w:rFonts w:ascii="Carlito" w:hAnsi="Carlito" w:eastAsia="Carlito"/>
                <w:b/>
                <w:i w:val="0"/>
                <w:color w:val="A56600"/>
                <w:sz w:val="14"/>
              </w:rPr>
              <w:t>BOUNDARY</w:t>
            </w:r>
          </w:p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5B6D75"/>
                <w:sz w:val="15"/>
              </w:rPr>
              <w:t>The 67 admitted repositories are a public proof set, not accomplishment count or the full owned estate; child repositories retain independent evidence states.</w:t>
            </w:r>
          </w:p>
        </w:tc>
      </w:tr>
      <w:tr>
        <w:tc>
          <w:tcPr>
            <w:tcW w:type="dxa" w:w="5112"/>
            <w:shd w:fill="EEF6F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20" w:line="240" w:lineRule="auto"/>
            </w:pPr>
            <w:r>
              <w:rPr>
                <w:rFonts w:ascii="Carlito" w:hAnsi="Carlito" w:eastAsia="Carlito"/>
                <w:b/>
                <w:i w:val="0"/>
                <w:color w:val="14232A"/>
                <w:sz w:val="19"/>
              </w:rPr>
              <w:t>Agent Coordinator</w:t>
            </w:r>
          </w:p>
          <w:p>
            <w:pPr>
              <w:spacing w:before="0" w:after="40" w:line="240" w:lineRule="auto"/>
            </w:pPr>
            <w:r>
              <w:rPr>
                <w:rFonts w:ascii="Carlito" w:hAnsi="Carlito" w:eastAsia="Carlito"/>
                <w:b/>
                <w:i w:val="0"/>
                <w:color w:val="087A73"/>
                <w:sz w:val="14"/>
              </w:rPr>
              <w:t>RECORDED 95/95</w:t>
            </w:r>
          </w:p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4232A"/>
                <w:sz w:val="15"/>
              </w:rPr>
              <w:t>Deterministic task ownership, dependency order, capacity, stable priority, and shared budgets.</w:t>
            </w:r>
          </w:p>
        </w:tc>
        <w:tc>
          <w:tcPr>
            <w:tcW w:type="dxa" w:w="5112"/>
            <w:shd w:fill="EEF6F4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20" w:line="240" w:lineRule="auto"/>
            </w:pPr>
            <w:r>
              <w:rPr>
                <w:rFonts w:ascii="Carlito" w:hAnsi="Carlito" w:eastAsia="Carlito"/>
                <w:b/>
                <w:i w:val="0"/>
                <w:color w:val="087A73"/>
                <w:sz w:val="14"/>
              </w:rPr>
              <w:t>EVIDENCE</w:t>
            </w:r>
          </w:p>
          <w:p>
            <w:pPr>
              <w:spacing w:before="0" w:after="6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4232A"/>
                <w:sz w:val="15"/>
              </w:rPr>
              <w:t>95/95 recorded Python tests.</w:t>
            </w:r>
          </w:p>
          <w:p>
            <w:pPr>
              <w:spacing w:before="0" w:after="20" w:line="240" w:lineRule="auto"/>
            </w:pPr>
            <w:r>
              <w:rPr>
                <w:rFonts w:ascii="Carlito" w:hAnsi="Carlito" w:eastAsia="Carlito"/>
                <w:b/>
                <w:i w:val="0"/>
                <w:color w:val="A56600"/>
                <w:sz w:val="14"/>
              </w:rPr>
              <w:t>BOUNDARY</w:t>
            </w:r>
          </w:p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5B6D75"/>
                <w:sz w:val="15"/>
              </w:rPr>
              <w:t>Hosted matrix and broader promotion gates remain separate.</w:t>
            </w:r>
          </w:p>
        </w:tc>
      </w:tr>
      <w:tr>
        <w:tc>
          <w:tcPr>
            <w:tcW w:type="dxa" w:w="5112"/>
            <w:shd w:fill="F7FAF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20" w:line="240" w:lineRule="auto"/>
            </w:pPr>
            <w:r>
              <w:rPr>
                <w:rFonts w:ascii="Carlito" w:hAnsi="Carlito" w:eastAsia="Carlito"/>
                <w:b/>
                <w:i w:val="0"/>
                <w:color w:val="14232A"/>
                <w:sz w:val="19"/>
              </w:rPr>
              <w:t>AKOS / PSYSOC-X</w:t>
            </w:r>
          </w:p>
          <w:p>
            <w:pPr>
              <w:spacing w:before="0" w:after="40" w:line="240" w:lineRule="auto"/>
            </w:pPr>
            <w:r>
              <w:rPr>
                <w:rFonts w:ascii="Carlito" w:hAnsi="Carlito" w:eastAsia="Carlito"/>
                <w:b/>
                <w:i w:val="0"/>
                <w:color w:val="087A73"/>
                <w:sz w:val="14"/>
              </w:rPr>
              <w:t>BOUNDED VERIFIED SURFACES</w:t>
            </w:r>
          </w:p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4232A"/>
                <w:sz w:val="15"/>
              </w:rPr>
              <w:t>Authority, evidence, closure, and deterministic audience-calibration primitives.</w:t>
            </w:r>
          </w:p>
        </w:tc>
        <w:tc>
          <w:tcPr>
            <w:tcW w:type="dxa" w:w="5112"/>
            <w:shd w:fill="F7FAF9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20" w:line="240" w:lineRule="auto"/>
            </w:pPr>
            <w:r>
              <w:rPr>
                <w:rFonts w:ascii="Carlito" w:hAnsi="Carlito" w:eastAsia="Carlito"/>
                <w:b/>
                <w:i w:val="0"/>
                <w:color w:val="087A73"/>
                <w:sz w:val="14"/>
              </w:rPr>
              <w:t>EVIDENCE</w:t>
            </w:r>
          </w:p>
          <w:p>
            <w:pPr>
              <w:spacing w:before="0" w:after="6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4232A"/>
                <w:sz w:val="15"/>
              </w:rPr>
              <w:t>Repository-native verification supports bounded current surfaces.</w:t>
            </w:r>
          </w:p>
          <w:p>
            <w:pPr>
              <w:spacing w:before="0" w:after="20" w:line="240" w:lineRule="auto"/>
            </w:pPr>
            <w:r>
              <w:rPr>
                <w:rFonts w:ascii="Carlito" w:hAnsi="Carlito" w:eastAsia="Carlito"/>
                <w:b/>
                <w:i w:val="0"/>
                <w:color w:val="A56600"/>
                <w:sz w:val="14"/>
              </w:rPr>
              <w:t>BOUNDARY</w:t>
            </w:r>
          </w:p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5B6D75"/>
                <w:sz w:val="15"/>
              </w:rPr>
              <w:t>Presentation depth can change; facts, uncertainty, dignity, and authority may not.</w:t>
            </w:r>
          </w:p>
        </w:tc>
      </w:tr>
    </w:tbl>
    <w:p>
      <w:pPr>
        <w:spacing w:before="140" w:after="20" w:line="240" w:lineRule="auto"/>
      </w:pPr>
      <w:r>
        <w:rPr>
          <w:rFonts w:ascii="Carlito" w:hAnsi="Carlito" w:eastAsia="Carlito"/>
          <w:b/>
          <w:i w:val="0"/>
          <w:color w:val="087A73"/>
          <w:sz w:val="14"/>
        </w:rPr>
        <w:t>SYSTEMS FOUNDATION</w:t>
      </w:r>
    </w:p>
    <w:p>
      <w:pPr>
        <w:spacing w:before="0" w:after="80" w:line="240" w:lineRule="auto"/>
        <w:pBdr>
          <w:bottom w:val="single" w:sz="8" w:space="2" w:color="087A73"/>
        </w:pBdr>
      </w:pPr>
      <w:r>
        <w:rPr>
          <w:rFonts w:ascii="Carlito" w:hAnsi="Carlito" w:eastAsia="Carlito"/>
          <w:b/>
          <w:i w:val="0"/>
          <w:color w:val="14232A"/>
          <w:sz w:val="26"/>
        </w:rPr>
        <w:t>Cross-domain operating perspective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0" w:type="dxa"/>
      </w:tblPr>
      <w:tblGrid>
        <w:gridCol w:w="2880"/>
        <w:gridCol w:w="7344"/>
      </w:tblGrid>
      <w:tr>
        <w:tc>
          <w:tcPr>
            <w:tcW w:type="dxa" w:w="5112"/>
            <w:shd w:fill="EEF6F4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/>
                <w:i w:val="0"/>
                <w:color w:val="087A73"/>
                <w:sz w:val="15"/>
              </w:rPr>
              <w:t>Scientific measurement</w:t>
            </w:r>
          </w:p>
        </w:tc>
        <w:tc>
          <w:tcPr>
            <w:tcW w:type="dxa" w:w="5112"/>
            <w:shd w:fill="EEF6F4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4232A"/>
                <w:sz w:val="15"/>
              </w:rPr>
              <w:t>University of Hawaii sea-urchin morphometric research, 2016-2017: processed physical measurements of gill structures to support visual species identification.</w:t>
            </w:r>
          </w:p>
        </w:tc>
      </w:tr>
      <w:tr>
        <w:tc>
          <w:tcPr>
            <w:tcW w:type="dxa" w:w="5112"/>
            <w:shd w:fill="F7FAF9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/>
                <w:i w:val="0"/>
                <w:color w:val="087A73"/>
                <w:sz w:val="15"/>
              </w:rPr>
              <w:t>Compressed-gas systems</w:t>
            </w:r>
          </w:p>
        </w:tc>
        <w:tc>
          <w:tcPr>
            <w:tcW w:type="dxa" w:w="5112"/>
            <w:shd w:fill="F7FAF9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4232A"/>
                <w:sz w:val="15"/>
              </w:rPr>
              <w:t>Scuba Tank Technician, Hawaiian Diving Adventures and UH Dive Office, 2016-2017: tank filling, transport, inspection and repair support, and gas mixing under safety-critical procedures.</w:t>
            </w:r>
          </w:p>
        </w:tc>
      </w:tr>
      <w:tr>
        <w:tc>
          <w:tcPr>
            <w:tcW w:type="dxa" w:w="5112"/>
            <w:shd w:fill="EEF6F4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/>
                <w:i w:val="0"/>
                <w:color w:val="087A73"/>
                <w:sz w:val="15"/>
              </w:rPr>
              <w:t>Field systems operations</w:t>
            </w:r>
          </w:p>
        </w:tc>
        <w:tc>
          <w:tcPr>
            <w:tcW w:type="dxa" w:w="5112"/>
            <w:shd w:fill="EEF6F4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2" w:color="D4E4E1"/>
              <w:left w:val="single" w:sz="2" w:color="D4E4E1"/>
              <w:bottom w:val="single" w:sz="2" w:color="D4E4E1"/>
              <w:right w:val="single" w:sz="2" w:color="D4E4E1"/>
            </w:tcBorders>
          </w:tcPr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 w:val="0"/>
                <w:i w:val="0"/>
                <w:color w:val="14232A"/>
                <w:sz w:val="15"/>
              </w:rPr>
              <w:t>Residential inspection and repair work developed practical judgment around interacting systems, failure consequences, uncertainty, and clear client communication.</w:t>
            </w:r>
          </w:p>
        </w:tc>
      </w:tr>
    </w:tbl>
    <w:p>
      <w:pPr>
        <w:spacing w:before="140" w:after="20" w:line="240" w:lineRule="auto"/>
      </w:pPr>
      <w:r>
        <w:rPr>
          <w:rFonts w:ascii="Carlito" w:hAnsi="Carlito" w:eastAsia="Carlito"/>
          <w:b/>
          <w:i w:val="0"/>
          <w:color w:val="087A73"/>
          <w:sz w:val="14"/>
        </w:rPr>
        <w:t>TECHNICAL PROFILE</w:t>
      </w:r>
    </w:p>
    <w:p>
      <w:pPr>
        <w:spacing w:before="0" w:after="80" w:line="240" w:lineRule="auto"/>
        <w:pBdr>
          <w:bottom w:val="single" w:sz="8" w:space="2" w:color="087A73"/>
        </w:pBdr>
      </w:pPr>
      <w:r>
        <w:rPr>
          <w:rFonts w:ascii="Carlito" w:hAnsi="Carlito" w:eastAsia="Carlito"/>
          <w:b/>
          <w:i w:val="0"/>
          <w:color w:val="14232A"/>
          <w:sz w:val="26"/>
        </w:rPr>
        <w:t>Tools and architecture</w:t>
      </w:r>
    </w:p>
    <w:p>
      <w:pPr>
        <w:spacing w:before="0" w:after="40" w:line="240" w:lineRule="auto"/>
      </w:pPr>
      <w:r>
        <w:rPr>
          <w:rFonts w:ascii="Carlito" w:hAnsi="Carlito" w:eastAsia="Carlito"/>
          <w:b/>
          <w:i w:val="0"/>
          <w:color w:val="087A73"/>
          <w:sz w:val="16"/>
        </w:rPr>
        <w:t xml:space="preserve">Primary: </w:t>
      </w:r>
      <w:r>
        <w:rPr>
          <w:rFonts w:ascii="Carlito" w:hAnsi="Carlito" w:eastAsia="Carlito"/>
          <w:b w:val="0"/>
          <w:i w:val="0"/>
          <w:color w:val="14232A"/>
          <w:sz w:val="16"/>
        </w:rPr>
        <w:t>Python, TypeScript, JavaScript, SQL, Bash, Node.js, React, Next.js, FastAPI</w:t>
      </w:r>
    </w:p>
    <w:p>
      <w:pPr>
        <w:spacing w:before="0" w:after="40" w:line="240" w:lineRule="auto"/>
      </w:pPr>
      <w:r>
        <w:rPr>
          <w:rFonts w:ascii="Carlito" w:hAnsi="Carlito" w:eastAsia="Carlito"/>
          <w:b/>
          <w:i w:val="0"/>
          <w:color w:val="087A73"/>
          <w:sz w:val="16"/>
        </w:rPr>
        <w:t xml:space="preserve">Architecture: </w:t>
      </w:r>
      <w:r>
        <w:rPr>
          <w:rFonts w:ascii="Carlito" w:hAnsi="Carlito" w:eastAsia="Carlito"/>
          <w:b w:val="0"/>
          <w:i w:val="0"/>
          <w:color w:val="14232A"/>
          <w:sz w:val="16"/>
        </w:rPr>
        <w:t>REST, JSON-RPC 2.0, MCP, JSON Schema, Protocol Buffers, events, state machines, idempotency, authority models, evidence models</w:t>
      </w:r>
    </w:p>
    <w:p>
      <w:pPr>
        <w:spacing w:before="0" w:after="40" w:line="240" w:lineRule="auto"/>
      </w:pPr>
      <w:r>
        <w:rPr>
          <w:rFonts w:ascii="Carlito" w:hAnsi="Carlito" w:eastAsia="Carlito"/>
          <w:b/>
          <w:i w:val="0"/>
          <w:color w:val="087A73"/>
          <w:sz w:val="16"/>
        </w:rPr>
        <w:t xml:space="preserve">Delivery: </w:t>
      </w:r>
      <w:r>
        <w:rPr>
          <w:rFonts w:ascii="Carlito" w:hAnsi="Carlito" w:eastAsia="Carlito"/>
          <w:b w:val="0"/>
          <w:i w:val="0"/>
          <w:color w:val="14232A"/>
          <w:sz w:val="16"/>
        </w:rPr>
        <w:t>Git, GitHub Actions, Docker, Vercel, automated testing, static analysis, dependency auditing, deterministic release checks</w:t>
      </w:r>
    </w:p>
    <w:p>
      <w:pPr>
        <w:spacing w:before="0" w:after="0" w:line="240" w:lineRule="auto"/>
      </w:pPr>
      <w:r>
        <w:rPr>
          <w:rFonts w:ascii="Carlito" w:hAnsi="Carlito" w:eastAsia="Carlito"/>
          <w:b/>
          <w:i w:val="0"/>
          <w:color w:val="087A73"/>
          <w:sz w:val="16"/>
        </w:rPr>
        <w:t xml:space="preserve">Additional evidence-bounded exposure: </w:t>
      </w:r>
      <w:r>
        <w:rPr>
          <w:rFonts w:ascii="Carlito" w:hAnsi="Carlito" w:eastAsia="Carlito"/>
          <w:b w:val="0"/>
          <w:i w:val="0"/>
          <w:color w:val="14232A"/>
          <w:sz w:val="16"/>
        </w:rPr>
        <w:t>Go, Rust, C, C++, CUDA, Swift/Metal, Julia, R, Verilog/SystemVerilog, WebAssembly</w:t>
      </w:r>
    </w:p>
    <w:p>
      <w:pPr>
        <w:spacing w:before="140" w:after="20" w:line="240" w:lineRule="auto"/>
      </w:pPr>
      <w:r>
        <w:rPr>
          <w:rFonts w:ascii="Carlito" w:hAnsi="Carlito" w:eastAsia="Carlito"/>
          <w:b/>
          <w:i w:val="0"/>
          <w:color w:val="087A73"/>
          <w:sz w:val="14"/>
        </w:rPr>
        <w:t>EDUCATION</w:t>
      </w:r>
    </w:p>
    <w:p>
      <w:pPr>
        <w:spacing w:before="0" w:after="80" w:line="240" w:lineRule="auto"/>
        <w:pBdr>
          <w:bottom w:val="single" w:sz="8" w:space="2" w:color="087A73"/>
        </w:pBdr>
      </w:pPr>
      <w:r>
        <w:rPr>
          <w:rFonts w:ascii="Carlito" w:hAnsi="Carlito" w:eastAsia="Carlito"/>
          <w:b/>
          <w:i w:val="0"/>
          <w:color w:val="14232A"/>
          <w:sz w:val="26"/>
        </w:rPr>
        <w:t>Scientific foundation and current cloud training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Spacing w:w="0" w:type="dxa"/>
      </w:tblPr>
      <w:tblGrid>
        <w:gridCol w:w="6336"/>
        <w:gridCol w:w="3888"/>
      </w:tblGrid>
      <w:tr>
        <w:tc>
          <w:tcPr>
            <w:tcW w:type="dxa" w:w="5112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/>
                <w:i w:val="0"/>
                <w:color w:val="14232A"/>
                <w:sz w:val="17"/>
              </w:rPr>
              <w:t>University of Hawaii at Manoa</w:t>
            </w:r>
          </w:p>
        </w:tc>
        <w:tc>
          <w:tcPr>
            <w:tcW w:type="dxa" w:w="5112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5B6D75"/>
                <w:sz w:val="16"/>
              </w:rPr>
              <w:t>B.S., Marine Biology - 2016</w:t>
            </w:r>
          </w:p>
        </w:tc>
      </w:tr>
      <w:tr>
        <w:tc>
          <w:tcPr>
            <w:tcW w:type="dxa" w:w="5112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/>
                <w:i w:val="0"/>
                <w:color w:val="14232A"/>
                <w:sz w:val="17"/>
              </w:rPr>
              <w:t>AWS Cloud Institute</w:t>
            </w:r>
          </w:p>
        </w:tc>
        <w:tc>
          <w:tcPr>
            <w:tcW w:type="dxa" w:w="5112"/>
            <w:tcMar>
              <w:top w:w="30" w:type="dxa"/>
              <w:start w:w="20" w:type="dxa"/>
              <w:bottom w:w="30" w:type="dxa"/>
              <w:end w:w="2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5B6D75"/>
                <w:sz w:val="16"/>
              </w:rPr>
              <w:t>Cloud Application Developer program - 2025-2026, in progress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CellSpacing w:w="0" w:type="dxa"/>
      </w:tblPr>
      <w:tblGrid>
        <w:gridCol w:w="10224"/>
      </w:tblGrid>
      <w:tr>
        <w:tc>
          <w:tcPr>
            <w:tcW w:type="dxa" w:w="10224"/>
            <w:shd w:fill="FFF5DE"/>
            <w:tcMar>
              <w:top w:w="65" w:type="dxa"/>
              <w:start w:w="80" w:type="dxa"/>
              <w:bottom w:w="65" w:type="dxa"/>
              <w:end w:w="80" w:type="dxa"/>
            </w:tcMar>
            <w:tcBorders>
              <w:top w:val="single" w:sz="4" w:color="E5B34B"/>
              <w:left w:val="single" w:sz="4" w:color="E5B34B"/>
              <w:bottom w:val="single" w:sz="4" w:color="E5B34B"/>
              <w:right w:val="single" w:sz="4" w:color="E5B34B"/>
            </w:tcBorders>
          </w:tcPr>
          <w:p>
            <w:pPr>
              <w:spacing w:before="0" w:after="0" w:line="240" w:lineRule="auto"/>
            </w:pPr>
            <w:r>
              <w:rPr>
                <w:rFonts w:ascii="Carlito" w:hAnsi="Carlito" w:eastAsia="Carlito"/>
                <w:b/>
                <w:i w:val="0"/>
                <w:color w:val="A56600"/>
                <w:sz w:val="15"/>
              </w:rPr>
              <w:t xml:space="preserve">EVIDENCE BOUNDARY  </w:t>
            </w:r>
            <w:r>
              <w:rPr>
                <w:rFonts w:ascii="Carlito" w:hAnsi="Carlito" w:eastAsia="Carlito"/>
                <w:b w:val="0"/>
                <w:i w:val="0"/>
                <w:color w:val="14232A"/>
                <w:sz w:val="15"/>
              </w:rPr>
              <w:t>Independent GlacierEQ work and bounded technical exhibits. Test counts refer only to their stated repository and scope. No company affiliation, proprietary access, production deployment, customer impact, formal people-management experience, current certification status, hardware validation, or measured business outcome is claimed without direct evidence.</w:t>
            </w:r>
          </w:p>
        </w:tc>
      </w:tr>
    </w:tbl>
    <w:sectPr w:rsidR="00FC693F" w:rsidRPr="0006063C" w:rsidSect="00034616">
      <w:footerReference w:type="default" r:id="rId13"/>
      <w:pgSz w:w="12240" w:h="15840"/>
      <w:pgMar w:top="864" w:right="1008" w:bottom="864" w:left="1008" w:header="317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rlito" w:hAnsi="Carlito" w:eastAsia="Carlito"/>
        <w:b/>
        <w:i w:val="0"/>
        <w:color w:val="5B6D75"/>
        <w:sz w:val="13"/>
      </w:rPr>
      <w:t>CASEY BARTON  |  EVIDENCE-BOUND AI SYSTEMS  |  HONOLULU, HAWAII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rlito" w:hAnsi="Carlito" w:eastAsia="Carlito"/>
      <w:color w:val="1423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  <w:color w:val="14232A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tel:+18089365654" TargetMode="External"/><Relationship Id="rId10" Type="http://schemas.openxmlformats.org/officeDocument/2006/relationships/hyperlink" Target="mailto:glacier.equilibrium@gmail.com" TargetMode="External"/><Relationship Id="rId11" Type="http://schemas.openxmlformats.org/officeDocument/2006/relationships/hyperlink" Target="https://casey-barton-glaciereq.vercel.app/" TargetMode="External"/><Relationship Id="rId12" Type="http://schemas.openxmlformats.org/officeDocument/2006/relationships/hyperlink" Target="https://github.com/GlacierEQ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Casey Barton - Applied AI Systems Architect Resume</dc:title>
  <dc:subject>Evidence-bound applied AI systems resume</dc:subject>
  <dc:creator>Casey Del Carpio Barton</dc:creator>
  <cp:keywords/>
  <dc:description>Current claims are separated from ambition and bounded to stated evidence.</dc:description>
  <cp:lastModifiedBy/>
  <cp:revision>1</cp:revision>
  <dcterms:created xsi:type="dcterms:W3CDTF">2026-08-05T00:00:00Z</dcterms:created>
  <dcterms:modified xsi:type="dcterms:W3CDTF">2026-08-05T00:00:00Z</dcterms:modified>
  <cp:category/>
</cp:coreProperties>
</file>