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7992"/>
        <w:gridCol w:w="2880"/>
      </w:tblGrid>
      <w:tr>
        <w:tc>
          <w:tcPr>
            <w:tcW w:type="dxa" w:w="5429"/>
            <w:shd w:fill="0B2028"/>
            <w:tcMar>
              <w:top w:w="125" w:type="dxa"/>
              <w:start w:w="115" w:type="dxa"/>
              <w:bottom w:w="115" w:type="dxa"/>
              <w:end w:w="115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FFFFFF"/>
                <w:sz w:val="41"/>
              </w:rPr>
              <w:t>CASEY DEL CARPIO BARTON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7DEAD4"/>
                <w:sz w:val="21"/>
              </w:rPr>
              <w:t>APPLIED AI SYSTEMS ARCHITECT</w:t>
            </w:r>
            <w:r>
              <w:rPr>
                <w:rFonts w:ascii="Aptos" w:hAnsi="Aptos" w:eastAsia="Aptos"/>
                <w:b w:val="0"/>
                <w:i w:val="0"/>
                <w:color w:val="D7E4E7"/>
                <w:sz w:val="18"/>
              </w:rPr>
              <w:t xml:space="preserve">  |  Agent Infrastructure Engineer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C1D1D5"/>
                <w:sz w:val="16"/>
              </w:rPr>
              <w:t>Forward-Deployed AI  |  Evidence-bound execution for ambitious systems and high-consequence decisions.</w:t>
            </w:r>
          </w:p>
        </w:tc>
        <w:tc>
          <w:tcPr>
            <w:tcW w:type="dxa" w:w="5429"/>
            <w:shd w:fill="0B2028"/>
            <w:tcMar>
              <w:top w:w="125" w:type="dxa"/>
              <w:start w:w="115" w:type="dxa"/>
              <w:bottom w:w="115" w:type="dxa"/>
              <w:end w:w="115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Honolulu, Hawaii</w:t>
            </w:r>
          </w:p>
          <w:p>
            <w:pPr>
              <w:spacing w:before="0" w:after="0" w:line="240" w:lineRule="auto"/>
              <w:jc w:val="right"/>
            </w:pPr>
            <w:hyperlink r:id="rId9">
              <w:r>
                <w:rPr>
                  <w:color w:val="D7E4E7"/>
                  <w:u w:val="none"/>
                  <w:sz w:val="16"/>
                  <w:szCs w:val="16"/>
                </w:rPr>
                <w:t>808-936-5654</w:t>
              </w:r>
            </w:hyperlink>
            <w:r>
              <w:rPr>
                <w:rFonts w:ascii="Aptos" w:hAnsi="Aptos" w:eastAsia="Aptos"/>
                <w:b w:val="0"/>
                <w:i w:val="0"/>
                <w:sz w:val="2"/>
              </w:rPr>
              <w:br/>
            </w:r>
            <w:hyperlink r:id="rId10">
              <w:r>
                <w:rPr>
                  <w:color w:val="D7E4E7"/>
                  <w:u w:val="none"/>
                  <w:sz w:val="16"/>
                  <w:szCs w:val="16"/>
                </w:rPr>
                <w:t>glacier.equilibrium@gmail.com</w:t>
              </w:r>
            </w:hyperlink>
            <w:r>
              <w:rPr>
                <w:rFonts w:ascii="Aptos" w:hAnsi="Aptos" w:eastAsia="Aptos"/>
                <w:b w:val="0"/>
                <w:i w:val="0"/>
                <w:sz w:val="2"/>
              </w:rPr>
              <w:br/>
            </w:r>
            <w:hyperlink r:id="rId11">
              <w:r>
                <w:rPr>
                  <w:color w:val="D7E4E7"/>
                  <w:u w:val="none"/>
                  <w:sz w:val="16"/>
                  <w:szCs w:val="16"/>
                </w:rPr>
                <w:t>casey-barton-glaciereq.vercel.app</w:t>
              </w:r>
            </w:hyperlink>
            <w:r>
              <w:rPr>
                <w:rFonts w:ascii="Aptos" w:hAnsi="Aptos" w:eastAsia="Aptos"/>
                <w:b w:val="0"/>
                <w:i w:val="0"/>
                <w:sz w:val="2"/>
              </w:rPr>
              <w:br/>
            </w:r>
            <w:hyperlink r:id="rId12">
              <w:r>
                <w:rPr>
                  <w:color w:val="D7E4E7"/>
                  <w:u w:val="none"/>
                  <w:sz w:val="16"/>
                  <w:szCs w:val="16"/>
                </w:rPr>
                <w:t>github.com/GlacierEQ</w:t>
              </w:r>
            </w:hyperlink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CellSpacing w:w="0" w:type="dxa"/>
      </w:tblPr>
      <w:tblGrid>
        <w:gridCol w:w="10858"/>
      </w:tblGrid>
      <w:tr>
        <w:tc>
          <w:tcPr>
            <w:tcW w:type="dxa" w:w="10858"/>
            <w:shd w:fill="EEF6F4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sz="8" w:val="single" w:color="087A73"/>
              <w:left w:sz="2" w:val="single" w:color="D4E4E1"/>
              <w:bottom w:sz="8" w:val="single" w:color="087A73"/>
              <w:right w:sz="2" w:val="single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EXECUTIVE SIGNAL</w:t>
            </w:r>
          </w:p>
          <w:p>
            <w:pPr>
              <w:spacing w:before="0" w:after="0" w:line="254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9"/>
              </w:rPr>
              <w:t>Builds the operating layer between model capability and dependable outcomes: explicit authority, bounded tool use, deterministic evidence, controlled failure, continuity, and completion receipts. Combines software architecture with scientific measurement, compressed-gas safety, building-system inspection, and owner-operated field execution.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2714"/>
        <w:gridCol w:w="2714"/>
        <w:gridCol w:w="2714"/>
        <w:gridCol w:w="2714"/>
      </w:tblGrid>
      <w:tr>
        <w:tc>
          <w:tcPr>
            <w:tcW w:type="dxa" w:w="2714"/>
            <w:shd w:fill="F7FAF9"/>
            <w:tcMar>
              <w:top w:w="65" w:type="dxa"/>
              <w:start w:w="40" w:type="dxa"/>
              <w:bottom w:w="65" w:type="dxa"/>
              <w:end w:w="4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087A73"/>
                <w:sz w:val="31"/>
              </w:rPr>
              <w:t>69/69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Receipt Router tests</w:t>
            </w:r>
          </w:p>
        </w:tc>
        <w:tc>
          <w:tcPr>
            <w:tcW w:type="dxa" w:w="2714"/>
            <w:shd w:fill="EEF6F4"/>
            <w:tcMar>
              <w:top w:w="65" w:type="dxa"/>
              <w:start w:w="40" w:type="dxa"/>
              <w:bottom w:w="65" w:type="dxa"/>
              <w:end w:w="4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087A73"/>
                <w:sz w:val="31"/>
              </w:rPr>
              <w:t>166 + 19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Bounded source + memory tests</w:t>
            </w:r>
          </w:p>
        </w:tc>
        <w:tc>
          <w:tcPr>
            <w:tcW w:type="dxa" w:w="2714"/>
            <w:shd w:fill="F7FAF9"/>
            <w:tcMar>
              <w:top w:w="65" w:type="dxa"/>
              <w:start w:w="40" w:type="dxa"/>
              <w:bottom w:w="65" w:type="dxa"/>
              <w:end w:w="4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087A73"/>
                <w:sz w:val="31"/>
              </w:rPr>
              <w:t>148/148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Job Application Helix tests</w:t>
            </w:r>
          </w:p>
        </w:tc>
        <w:tc>
          <w:tcPr>
            <w:tcW w:type="dxa" w:w="2714"/>
            <w:shd w:fill="EEF6F4"/>
            <w:tcMar>
              <w:top w:w="65" w:type="dxa"/>
              <w:start w:w="40" w:type="dxa"/>
              <w:bottom w:w="65" w:type="dxa"/>
              <w:end w:w="4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087A73"/>
                <w:sz w:val="31"/>
              </w:rPr>
              <w:t>0</w:t>
            </w:r>
          </w:p>
          <w:p>
            <w:pPr>
              <w:spacing w:before="0" w:after="0" w:line="228" w:lineRule="auto"/>
              <w:jc w:val="center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External actions in flagship verification</w:t>
            </w:r>
          </w:p>
        </w:tc>
      </w:tr>
    </w:tbl>
    <w:p>
      <w:pPr>
        <w:spacing w:before="120" w:after="60" w:line="240" w:lineRule="auto"/>
        <w:keepNext/>
        <w:keepLines/>
        <w:pBdr>
          <w:bottom w:val="single" w:sz="10" w:space="2" w:color="087A73"/>
        </w:pBdr>
      </w:pPr>
      <w:r>
        <w:rPr>
          <w:rFonts w:ascii="Aptos" w:hAnsi="Aptos" w:eastAsia="Aptos"/>
          <w:b/>
          <w:i w:val="0"/>
          <w:color w:val="087A73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496"/>
        <w:gridCol w:w="2376"/>
      </w:tblGrid>
      <w:tr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1"/>
              </w:rPr>
              <w:t>GlacierEQ</w:t>
            </w:r>
            <w:r>
              <w:rPr>
                <w:rFonts w:ascii="Aptos" w:hAnsi="Aptos" w:eastAsia="Aptos"/>
                <w:b w:val="0"/>
                <w:i w:val="0"/>
                <w:color w:val="5B6D75"/>
                <w:sz w:val="21"/>
              </w:rPr>
              <w:t xml:space="preserve"> | </w:t>
            </w:r>
            <w:r>
              <w:rPr>
                <w:rFonts w:ascii="Aptos" w:hAnsi="Aptos" w:eastAsia="Aptos"/>
                <w:b/>
                <w:i w:val="0"/>
                <w:color w:val="087A73"/>
                <w:sz w:val="20"/>
              </w:rPr>
              <w:t>Founder / Applied AI Systems Builder</w:t>
            </w:r>
          </w:p>
        </w:tc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5B6D75"/>
                <w:sz w:val="17"/>
              </w:rPr>
              <w:t>Jan 2025-Present</w:t>
            </w:r>
          </w:p>
        </w:tc>
      </w:tr>
    </w:tbl>
    <w:p>
      <w:pPr>
        <w:spacing w:before="0" w:after="20" w:line="240" w:lineRule="auto"/>
      </w:pPr>
      <w:r>
        <w:rPr>
          <w:rFonts w:ascii="Aptos" w:hAnsi="Aptos" w:eastAsia="Aptos"/>
          <w:b w:val="0"/>
          <w:i/>
          <w:color w:val="5B6D75"/>
          <w:sz w:val="17"/>
        </w:rPr>
        <w:t>Honolulu, Hawaii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Design and implement evidence-bound systems spanning agent orchestration, application intelligence, document and evidence pipelines, memory and continuity, infrastructure governance, and human-machine interfaces.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Convert ambiguous architecture into typed contracts, runnable slices, deterministic tests, explicit refusal behavior, machine-readable facts, and reviewable completion receipts.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Built a public Portfolio Receipt Router that replaced unsupported autonomous-control semantics with a local fail-closed evidence system; 69 of 69 tests passed through direct and reusable CI with zero external actions.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Govern a multi-repository portfolio by separating source presence, review, execution, deployment, authority, and verified completion so recruiter, technical, and machine views cannot drift.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496"/>
        <w:gridCol w:w="2376"/>
      </w:tblGrid>
      <w:tr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1"/>
              </w:rPr>
              <w:t>Diamond Head Home Inspections</w:t>
            </w:r>
            <w:r>
              <w:rPr>
                <w:rFonts w:ascii="Aptos" w:hAnsi="Aptos" w:eastAsia="Aptos"/>
                <w:b w:val="0"/>
                <w:i w:val="0"/>
                <w:color w:val="5B6D75"/>
                <w:sz w:val="21"/>
              </w:rPr>
              <w:t xml:space="preserve"> | </w:t>
            </w:r>
            <w:r>
              <w:rPr>
                <w:rFonts w:ascii="Aptos" w:hAnsi="Aptos" w:eastAsia="Aptos"/>
                <w:b/>
                <w:i w:val="0"/>
                <w:color w:val="087A73"/>
                <w:sz w:val="20"/>
              </w:rPr>
              <w:t>Certified Home Inspector</w:t>
            </w:r>
          </w:p>
        </w:tc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5B6D75"/>
                <w:sz w:val="17"/>
              </w:rPr>
              <w:t>2020-2024</w:t>
            </w:r>
          </w:p>
        </w:tc>
      </w:tr>
    </w:tbl>
    <w:p>
      <w:pPr>
        <w:spacing w:before="0" w:after="20" w:line="240" w:lineRule="auto"/>
      </w:pPr>
      <w:r>
        <w:rPr>
          <w:rFonts w:ascii="Aptos" w:hAnsi="Aptos" w:eastAsia="Aptos"/>
          <w:b w:val="0"/>
          <w:i/>
          <w:color w:val="5B6D75"/>
          <w:sz w:val="17"/>
        </w:rPr>
        <w:t>Honolulu, Hawaii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Inspected residential structural, roofing, electrical, plumbing, HVAC, moisture, and safety conditions; translated field evidence into clear, decision-ready reports under time constraints.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Developed disciplined habits around uncertainty labeling, defect prioritization, interacting-system analysis, client communication, and avoiding unsupported conclusions.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8496"/>
        <w:gridCol w:w="2376"/>
      </w:tblGrid>
      <w:tr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1"/>
              </w:rPr>
              <w:t>Hi-Class Home Services / Hi Class Maintenance Oahu LLC</w:t>
            </w:r>
            <w:r>
              <w:rPr>
                <w:rFonts w:ascii="Aptos" w:hAnsi="Aptos" w:eastAsia="Aptos"/>
                <w:b w:val="0"/>
                <w:i w:val="0"/>
                <w:color w:val="5B6D75"/>
                <w:sz w:val="21"/>
              </w:rPr>
              <w:t xml:space="preserve"> | </w:t>
            </w:r>
            <w:r>
              <w:rPr>
                <w:rFonts w:ascii="Aptos" w:hAnsi="Aptos" w:eastAsia="Aptos"/>
                <w:b/>
                <w:i w:val="0"/>
                <w:color w:val="087A73"/>
                <w:sz w:val="20"/>
              </w:rPr>
              <w:t>Owner-Operator, Building Systems &amp; Field Services</w:t>
            </w:r>
          </w:p>
        </w:tc>
        <w:tc>
          <w:tcPr>
            <w:tcW w:type="dxa" w:w="5429"/>
            <w:tcMar>
              <w:top w:w="30" w:type="dxa"/>
              <w:start w:w="0" w:type="dxa"/>
              <w:bottom w:w="15" w:type="dxa"/>
              <w:end w:w="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/>
                <w:i w:val="0"/>
                <w:color w:val="5B6D75"/>
                <w:sz w:val="17"/>
              </w:rPr>
              <w:t>2017-Present</w:t>
            </w:r>
          </w:p>
        </w:tc>
      </w:tr>
    </w:tbl>
    <w:p>
      <w:pPr>
        <w:spacing w:before="0" w:after="20" w:line="240" w:lineRule="auto"/>
      </w:pPr>
      <w:r>
        <w:rPr>
          <w:rFonts w:ascii="Aptos" w:hAnsi="Aptos" w:eastAsia="Aptos"/>
          <w:b w:val="0"/>
          <w:i/>
          <w:color w:val="5B6D75"/>
          <w:sz w:val="17"/>
        </w:rPr>
        <w:t>Honolulu, Hawaii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Scope residential repair and service work, prepare estimates, coordinate execution, and communicate assumptions, constraints, and completion status with clients.</w:t>
      </w:r>
    </w:p>
    <w:p>
      <w:pPr>
        <w:pStyle w:val="ListBullet"/>
        <w:spacing w:after="8" w:line="240" w:lineRule="auto"/>
        <w:ind w:left="245" w:hanging="202"/>
        <w:keepLines/>
      </w:pPr>
      <w:r>
        <w:rPr>
          <w:rFonts w:ascii="Aptos" w:hAnsi="Aptos" w:eastAsia="Aptos"/>
          <w:color w:val="14232A"/>
          <w:sz w:val="18"/>
        </w:rPr>
        <w:t>Work across practical building-system problems including minor carpentry, plumbing, electrical fixture replacement, drywall, painting, flooring, and maintenance planning.</w:t>
      </w:r>
    </w:p>
    <w:p>
      <w:pPr>
        <w:spacing w:before="120" w:after="60" w:line="240" w:lineRule="auto"/>
        <w:keepNext/>
        <w:keepLines/>
        <w:pBdr>
          <w:bottom w:val="single" w:sz="10" w:space="2" w:color="087A73"/>
        </w:pBdr>
      </w:pPr>
      <w:r>
        <w:rPr>
          <w:rFonts w:ascii="Aptos" w:hAnsi="Aptos" w:eastAsia="Aptos"/>
          <w:b/>
          <w:i w:val="0"/>
          <w:color w:val="087A73"/>
          <w:sz w:val="24"/>
        </w:rPr>
        <w:t>CORE CAPABILITY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5429"/>
        <w:gridCol w:w="5429"/>
      </w:tblGrid>
      <w:tr>
        <w:tc>
          <w:tcPr>
            <w:tcW w:type="dxa" w:w="5429"/>
            <w:shd w:fill="EEF6F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Agent infrastructure &amp; governance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5"/>
              </w:rPr>
              <w:t>Multi-agent coordination; MCP and tool contracts; capability/authority separation; approval models; state machines; bounded retries; recovery and closure.</w:t>
            </w:r>
          </w:p>
        </w:tc>
        <w:tc>
          <w:tcPr>
            <w:tcW w:type="dxa" w:w="5429"/>
            <w:shd w:fill="F7FAF9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Evidence &amp; release engineering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5"/>
              </w:rPr>
              <w:t>Provenance; claim-to-source mapping; deterministic testing; JSON Schema; CI/CD; static analysis; integrity hashing; machine-readable receipts.</w:t>
            </w:r>
          </w:p>
        </w:tc>
      </w:tr>
      <w:tr>
        <w:tc>
          <w:tcPr>
            <w:tcW w:type="dxa" w:w="5429"/>
            <w:shd w:fill="F7FAF9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Application &amp; document intelligence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5"/>
              </w:rPr>
              <w:t>Role research; evidence-qualified resume generation; document extraction; structured artifacts; human and machine presentation layers.</w:t>
            </w:r>
          </w:p>
        </w:tc>
        <w:tc>
          <w:tcPr>
            <w:tcW w:type="dxa" w:w="5429"/>
            <w:shd w:fill="EEF6F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Primary technology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5"/>
              </w:rPr>
              <w:t>Python; TypeScript; JavaScript; SQL; Bash; Node.js; React; Next.js; FastAPI; REST; JSON-RPC 2.0; MCP; GitHub Actions; Docker; Vercel.</w:t>
            </w:r>
          </w:p>
        </w:tc>
      </w:tr>
    </w:tbl>
    <w:p>
      <w:r>
        <w:br w:type="page"/>
      </w:r>
    </w:p>
    <w:p>
      <w:pPr>
        <w:spacing w:before="120" w:after="60" w:line="240" w:lineRule="auto"/>
        <w:keepNext/>
        <w:keepLines/>
        <w:pBdr>
          <w:bottom w:val="single" w:sz="10" w:space="2" w:color="087A73"/>
        </w:pBdr>
      </w:pPr>
      <w:r>
        <w:rPr>
          <w:rFonts w:ascii="Aptos" w:hAnsi="Aptos" w:eastAsia="Aptos"/>
          <w:b/>
          <w:i w:val="0"/>
          <w:color w:val="087A73"/>
          <w:sz w:val="24"/>
        </w:rPr>
        <w:t>SELECTED SYSTEMS AND EVIDENCE STATES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5616"/>
        <w:gridCol w:w="5256"/>
      </w:tblGrid>
      <w:tr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0"/>
              </w:rPr>
              <w:t>Portfolio Receipt Router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TEST VERIFIED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Compatibility-safe architecture repair and evidence routing.</w:t>
            </w:r>
          </w:p>
        </w:tc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/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69/69 tests; direct and reusable CI; artifact 8910423397; zero external actions.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Independent technical exhibit; no datacenter control, company affiliation, or production-operation claim.</w:t>
            </w:r>
          </w:p>
        </w:tc>
      </w:tr>
      <w:tr>
        <w:tc>
          <w:tcPr>
            <w:tcW w:type="dxa" w:w="5429"/>
            <w:shd w:fill="F7FAF9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0"/>
              </w:rPr>
              <w:t>Job Application Helix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RECORDED 148/148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Evidence-governed hiring and portfolio orchestration.</w:t>
            </w:r>
          </w:p>
        </w:tc>
        <w:tc>
          <w:tcPr>
            <w:tcW w:type="dxa" w:w="5429"/>
            <w:shd w:fill="F7FAF9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/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148/148 recorded repository tests.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Release-specific current-SHA and deployment gates remain separate.</w:t>
            </w:r>
          </w:p>
        </w:tc>
      </w:tr>
      <w:tr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0"/>
              </w:rPr>
              <w:t>Agent Coordinator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RECORDED 62/62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Deterministic task ownership, dependencies, capacity, priority, and shared budgets.</w:t>
            </w:r>
          </w:p>
        </w:tc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/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62/62 recorded Python tests.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Hosted matrix and build-wheel promotion remain open.</w:t>
            </w:r>
          </w:p>
        </w:tc>
      </w:tr>
      <w:tr>
        <w:tc>
          <w:tcPr>
            <w:tcW w:type="dxa" w:w="5429"/>
            <w:shd w:fill="F7FAF9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0"/>
              </w:rPr>
              <w:t>Microcode Governance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REVIEWED - EXECUTION BLOCKED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Firmware manifests, drift, SBOMs, provenance, compatibility policy, and approval-gated rollout planning.</w:t>
            </w:r>
          </w:p>
        </w:tc>
        <w:tc>
          <w:tcPr>
            <w:tcW w:type="dxa" w:w="5429"/>
            <w:shd w:fill="F7FAF9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/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132-check generated contract; static review found no critical defect.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Private CI did not execute; not test verified and performs no firmware mutation.</w:t>
            </w:r>
          </w:p>
        </w:tc>
      </w:tr>
      <w:tr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20"/>
              </w:rPr>
              <w:t>PSYSOC-X</w:t>
            </w:r>
          </w:p>
          <w:p>
            <w:pPr>
              <w:spacing w:before="0" w:after="4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BOUNDED TEST SCOPE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Audience calibration across recruiter, master, machine, and relationship views.</w:t>
            </w:r>
          </w:p>
        </w:tc>
        <w:tc>
          <w:tcPr>
            <w:tcW w:type="dxa" w:w="5429"/>
            <w:shd w:fill="EEF6F4"/>
            <w:tcMar>
              <w:top w:w="65" w:type="dxa"/>
              <w:start w:w="65" w:type="dxa"/>
              <w:bottom w:w="6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  <w:vAlign w:val="top"/>
          </w:tcPr>
          <w:p/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4"/>
              </w:rPr>
              <w:t>EVIDENCE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Deterministic profile and invariant cases.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4"/>
              </w:rPr>
              <w:t>BOUNDARY</w:t>
            </w:r>
          </w:p>
          <w:p>
            <w:pPr>
              <w:spacing w:before="0" w:after="40" w:line="245" w:lineRule="auto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5"/>
              </w:rPr>
              <w:t>No diagnosis, covert persuasion, or manipulation capability is claimed.</w:t>
            </w:r>
          </w:p>
        </w:tc>
      </w:tr>
    </w:tbl>
    <w:p>
      <w:pPr>
        <w:spacing w:before="120" w:after="60" w:line="240" w:lineRule="auto"/>
        <w:keepNext/>
        <w:keepLines/>
        <w:pBdr>
          <w:bottom w:val="single" w:sz="10" w:space="2" w:color="087A73"/>
        </w:pBdr>
      </w:pPr>
      <w:r>
        <w:rPr>
          <w:rFonts w:ascii="Aptos" w:hAnsi="Aptos" w:eastAsia="Aptos"/>
          <w:b/>
          <w:i w:val="0"/>
          <w:color w:val="087A73"/>
          <w:sz w:val="24"/>
        </w:rPr>
        <w:t>CROSS-DOMAIN SYSTEMS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3024"/>
        <w:gridCol w:w="7848"/>
      </w:tblGrid>
      <w:tr>
        <w:tc>
          <w:tcPr>
            <w:tcW w:type="dxa" w:w="5429"/>
            <w:shd w:fill="EEF6F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Scientific measurement</w:t>
            </w:r>
          </w:p>
        </w:tc>
        <w:tc>
          <w:tcPr>
            <w:tcW w:type="dxa" w:w="5429"/>
            <w:shd w:fill="EEF6F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University of Hawaii sea-urchin morphometric research, 2016-2017: processed physical measurements of gill structures to support visual species identification.</w:t>
            </w:r>
          </w:p>
        </w:tc>
      </w:tr>
      <w:tr>
        <w:tc>
          <w:tcPr>
            <w:tcW w:type="dxa" w:w="5429"/>
            <w:shd w:fill="F7FAF9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Compressed-gas systems</w:t>
            </w:r>
          </w:p>
        </w:tc>
        <w:tc>
          <w:tcPr>
            <w:tcW w:type="dxa" w:w="5429"/>
            <w:shd w:fill="F7FAF9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Scuba Tank Technician, Hawaiian Diving Adventures and UH Dive Office, 2016-2017: tank filling, transport, inspection and repair support, and gas mixing under safety-critical procedures.</w:t>
            </w:r>
          </w:p>
        </w:tc>
      </w:tr>
      <w:tr>
        <w:tc>
          <w:tcPr>
            <w:tcW w:type="dxa" w:w="5429"/>
            <w:shd w:fill="EEF6F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Field systems operations</w:t>
            </w:r>
          </w:p>
        </w:tc>
        <w:tc>
          <w:tcPr>
            <w:tcW w:type="dxa" w:w="5429"/>
            <w:shd w:fill="EEF6F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Residential inspection and repair work developed practical judgment around interacting systems, failure consequences, uncertainty, and clear client communication.</w:t>
            </w:r>
          </w:p>
        </w:tc>
      </w:tr>
      <w:tr>
        <w:tc>
          <w:tcPr>
            <w:tcW w:type="dxa" w:w="5429"/>
            <w:shd w:fill="F7FAF9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087A73"/>
                <w:sz w:val="16"/>
              </w:rPr>
              <w:t>Earlier leadership</w:t>
            </w:r>
          </w:p>
        </w:tc>
        <w:tc>
          <w:tcPr>
            <w:tcW w:type="dxa" w:w="5429"/>
            <w:shd w:fill="F7FAF9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sz="2" w:val="single" w:color="D4E4E1"/>
              <w:left w:sz="2" w:val="single" w:color="D4E4E1"/>
              <w:bottom w:sz="2" w:val="single" w:color="D4E4E1"/>
              <w:right w:sz="2" w:val="single" w:color="D4E4E1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4232A"/>
                <w:sz w:val="16"/>
              </w:rPr>
              <w:t>Civil Air Patrol Cadet Commander and Search-and-Rescue Ground Team Leader, 2007-2011; included as historical leadership context, not as formal professional management experience.</w:t>
            </w:r>
          </w:p>
        </w:tc>
      </w:tr>
    </w:tbl>
    <w:p>
      <w:pPr>
        <w:spacing w:before="120" w:after="60" w:line="240" w:lineRule="auto"/>
        <w:keepNext/>
        <w:keepLines/>
        <w:pBdr>
          <w:bottom w:val="single" w:sz="10" w:space="2" w:color="087A73"/>
        </w:pBdr>
      </w:pPr>
      <w:r>
        <w:rPr>
          <w:rFonts w:ascii="Aptos" w:hAnsi="Aptos" w:eastAsia="Aptos"/>
          <w:b/>
          <w:i w:val="0"/>
          <w:color w:val="087A73"/>
          <w:sz w:val="24"/>
        </w:rPr>
        <w:t>EDUCATION AND EARLIER TECHNICAL CREDENTIALS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0" w:type="dxa"/>
      </w:tblPr>
      <w:tblGrid>
        <w:gridCol w:w="6912"/>
        <w:gridCol w:w="3960"/>
      </w:tblGrid>
      <w:tr>
        <w:tc>
          <w:tcPr>
            <w:tcW w:type="dxa" w:w="5429"/>
            <w:tcMar>
              <w:top w:w="35" w:type="dxa"/>
              <w:start w:w="20" w:type="dxa"/>
              <w:bottom w:w="35" w:type="dxa"/>
              <w:end w:w="2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18"/>
              </w:rPr>
              <w:t>University of Hawaii at Manoa</w:t>
            </w:r>
          </w:p>
        </w:tc>
        <w:tc>
          <w:tcPr>
            <w:tcW w:type="dxa" w:w="5429"/>
            <w:tcMar>
              <w:top w:w="35" w:type="dxa"/>
              <w:start w:w="20" w:type="dxa"/>
              <w:bottom w:w="35" w:type="dxa"/>
              <w:end w:w="2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7"/>
              </w:rPr>
              <w:t>B.S., Marine Biology - 2016</w:t>
            </w:r>
          </w:p>
        </w:tc>
      </w:tr>
      <w:tr>
        <w:tc>
          <w:tcPr>
            <w:tcW w:type="dxa" w:w="5429"/>
            <w:tcMar>
              <w:top w:w="35" w:type="dxa"/>
              <w:start w:w="20" w:type="dxa"/>
              <w:bottom w:w="35" w:type="dxa"/>
              <w:end w:w="2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14232A"/>
                <w:sz w:val="18"/>
              </w:rPr>
              <w:t>AWS Cloud Institute</w:t>
            </w:r>
          </w:p>
        </w:tc>
        <w:tc>
          <w:tcPr>
            <w:tcW w:type="dxa" w:w="5429"/>
            <w:tcMar>
              <w:top w:w="35" w:type="dxa"/>
              <w:start w:w="20" w:type="dxa"/>
              <w:bottom w:w="35" w:type="dxa"/>
              <w:end w:w="20" w:type="dxa"/>
            </w:tcMar>
            <w:tcBorders>
              <w:bottom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 w:eastAsia="Aptos"/>
                <w:b w:val="0"/>
                <w:i w:val="0"/>
                <w:color w:val="5B6D75"/>
                <w:sz w:val="17"/>
              </w:rPr>
              <w:t>Cloud Application Developer program - 2025-2026, in progress</w:t>
            </w:r>
          </w:p>
        </w:tc>
      </w:tr>
    </w:tbl>
    <w:p>
      <w:pPr>
        <w:spacing w:before="80" w:after="80" w:line="240" w:lineRule="auto"/>
      </w:pPr>
      <w:r>
        <w:rPr>
          <w:rFonts w:ascii="Aptos" w:hAnsi="Aptos" w:eastAsia="Aptos"/>
          <w:b/>
          <w:i w:val="0"/>
          <w:color w:val="087A73"/>
          <w:sz w:val="15"/>
        </w:rPr>
        <w:t xml:space="preserve">Earlier technical certifications recorded in prior resumes: </w:t>
      </w:r>
      <w:r>
        <w:rPr>
          <w:rFonts w:ascii="Aptos" w:hAnsi="Aptos" w:eastAsia="Aptos"/>
          <w:b w:val="0"/>
          <w:i w:val="0"/>
          <w:color w:val="5B6D75"/>
          <w:sz w:val="15"/>
        </w:rPr>
        <w:t>PSI Visual Cylinder Inspector, Eddy Current Technician, Valve Repair Technician, Oxygen Cleaning Cylinder Technician; NAUI Rescue and Master Diver; PADI Enriched Air Diver. Current status is not represented as active without updated documentation.</w:t>
      </w:r>
    </w:p>
    <w:tbl>
      <w:tblPr>
        <w:tblW w:type="auto" w:w="0"/>
        <w:jc w:val="center"/>
        <w:tblLook w:firstColumn="1" w:firstRow="1" w:lastColumn="0" w:lastRow="0" w:noHBand="0" w:noVBand="1" w:val="04A0"/>
        <w:tblCellSpacing w:w="0" w:type="dxa"/>
      </w:tblPr>
      <w:tblGrid>
        <w:gridCol w:w="10858"/>
      </w:tblGrid>
      <w:tr>
        <w:tc>
          <w:tcPr>
            <w:tcW w:type="dxa" w:w="10858"/>
            <w:shd w:fill="FFF5DE"/>
            <w:tcMar>
              <w:top w:w="65" w:type="dxa"/>
              <w:start w:w="75" w:type="dxa"/>
              <w:bottom w:w="65" w:type="dxa"/>
              <w:end w:w="75" w:type="dxa"/>
            </w:tcMar>
            <w:tcBorders>
              <w:top w:sz="4" w:val="single" w:color="E5B34B"/>
              <w:left w:sz="2" w:val="single" w:color="F2D99A"/>
              <w:bottom w:sz="4" w:val="single" w:color="E5B34B"/>
              <w:right w:sz="2" w:val="single" w:color="F2D99A"/>
            </w:tcBorders>
          </w:tcPr>
          <w:p>
            <w:pPr>
              <w:spacing w:before="0" w:after="0" w:line="240" w:lineRule="auto"/>
            </w:pPr>
            <w:r>
              <w:rPr>
                <w:rFonts w:ascii="Aptos" w:hAnsi="Aptos" w:eastAsia="Aptos"/>
                <w:b/>
                <w:i w:val="0"/>
                <w:color w:val="A56600"/>
                <w:sz w:val="16"/>
              </w:rPr>
              <w:t xml:space="preserve">EVIDENCE BOUNDARY  </w:t>
            </w:r>
            <w:r>
              <w:rPr>
                <w:rFonts w:ascii="Aptos" w:hAnsi="Aptos" w:eastAsia="Aptos"/>
                <w:b w:val="0"/>
                <w:i w:val="0"/>
                <w:color w:val="14232A"/>
                <w:sz w:val="15"/>
              </w:rPr>
              <w:t>Independent GlacierEQ work and bounded technical exhibits. Test counts refer only to their stated repository and scope. No company affiliation, proprietary access, production use, customer impact, formal people-management experience, current certification status, or hardware validation is claimed without direct evidence.</w:t>
            </w:r>
          </w:p>
        </w:tc>
      </w:tr>
    </w:tbl>
    <w:sectPr w:rsidR="00FC693F" w:rsidRPr="0006063C" w:rsidSect="00034616">
      <w:footerReference w:type="default" r:id="rId13"/>
      <w:pgSz w:w="12240" w:h="15840"/>
      <w:pgMar w:top="605" w:right="691" w:bottom="648" w:left="691" w:header="216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 w:eastAsia="Aptos"/>
        <w:b/>
        <w:i w:val="0"/>
        <w:color w:val="5B6D75"/>
        <w:sz w:val="13"/>
      </w:rPr>
      <w:t>CASEY BARTON  |  PSYSOC-X V17 RESUME INTELLIGENCE  |  HUMAN SIGNAL + MACHINE-VERIFIABLE FACTS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 w:eastAsia="Aptos"/>
      <w:color w:val="1423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089365654" TargetMode="External"/><Relationship Id="rId10" Type="http://schemas.openxmlformats.org/officeDocument/2006/relationships/hyperlink" Target="mailto:glacier.equilibrium@gmail.com" TargetMode="External"/><Relationship Id="rId11" Type="http://schemas.openxmlformats.org/officeDocument/2006/relationships/hyperlink" Target="https://casey-barton-glaciereq.vercel.app/" TargetMode="External"/><Relationship Id="rId12" Type="http://schemas.openxmlformats.org/officeDocument/2006/relationships/hyperlink" Target="https://github.com/GlacierEQ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Casey Barton - Applied AI Systems Architect Resume V17</dc:title>
  <dc:subject>PSYSOC-X calibrated executive resume with machine-verifiable evidence boundaries</dc:subject>
  <dc:creator>Casey Del Carpio Barton</dc:creator>
  <cp:keywords>Applied AI Systems Architect, Agent Infrastructure, MCP, multi-agent systems, evidence governance, deterministic validation, Python, TypeScript, Forward-Deployed AI</cp:keywords>
  <dc:description>Generated from a canonical evidence-bound resume model; claims are scoped to stated receipts.</dc:description>
  <cp:lastModifiedBy/>
  <cp:revision>1</cp:revision>
  <dcterms:created xsi:type="dcterms:W3CDTF">2026-08-05T00:00:00Z</dcterms:created>
  <dcterms:modified xsi:type="dcterms:W3CDTF">2026-08-05T00:00:00Z</dcterms:modified>
  <cp:category/>
</cp:coreProperties>
</file>