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7128"/>
        <w:gridCol w:w="3096"/>
      </w:tblGrid>
      <w:tr>
        <w:tc>
          <w:tcPr>
            <w:tcW w:type="dxa" w:w="5112"/>
            <w:shd w:fill="0B2028"/>
            <w:tcMar>
              <w:top w:w="11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FFFFFF"/>
                <w:sz w:val="38"/>
              </w:rPr>
              <w:t>CASEY DEL CARPIO BARTON</w:t>
            </w:r>
          </w:p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7DEAD4"/>
                <w:sz w:val="20"/>
              </w:rPr>
              <w:t>APPLIED AI SYSTEMS ARCHITECT</w:t>
            </w:r>
            <w:r>
              <w:rPr>
                <w:rFonts w:ascii="Carlito" w:hAnsi="Carlito" w:eastAsia="Carlito"/>
                <w:b w:val="0"/>
                <w:i w:val="0"/>
                <w:color w:val="D7E4E7"/>
                <w:sz w:val="17"/>
              </w:rPr>
              <w:t xml:space="preserve">  |  Agent Infrastructure Engineer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C1D1D5"/>
                <w:sz w:val="16"/>
              </w:rPr>
              <w:t>Forward-Deployed AI  |  Builds the operating layer that makes powerful AI dependable enough to use.</w:t>
            </w:r>
          </w:p>
        </w:tc>
        <w:tc>
          <w:tcPr>
            <w:tcW w:type="dxa" w:w="5112"/>
            <w:shd w:fill="0B2028"/>
            <w:tcMar>
              <w:top w:w="11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before="0" w:after="40" w:line="240" w:lineRule="auto"/>
              <w:jc w:val="right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Honolulu, Hawaii</w:t>
            </w:r>
          </w:p>
          <w:p>
            <w:pPr>
              <w:spacing w:before="0" w:after="0" w:line="240" w:lineRule="auto"/>
              <w:jc w:val="right"/>
            </w:pPr>
            <w:hyperlink r:id="rId9">
              <w:r>
                <w:rPr>
                  <w:color w:val="D7E4E7"/>
                  <w:u w:val="none"/>
                  <w:sz w:val="16"/>
                  <w:szCs w:val="16"/>
                  <w:rFonts w:ascii="Carlito" w:hAnsi="Carlito"/>
                </w:rPr>
                <w:t>808-936-5654</w:t>
              </w:r>
            </w:hyperlink>
          </w:p>
          <w:p>
            <w:pPr>
              <w:spacing w:before="0" w:after="0" w:line="240" w:lineRule="auto"/>
              <w:jc w:val="right"/>
            </w:pPr>
            <w:hyperlink r:id="rId10">
              <w:r>
                <w:rPr>
                  <w:color w:val="D7E4E7"/>
                  <w:u w:val="none"/>
                  <w:sz w:val="16"/>
                  <w:szCs w:val="16"/>
                  <w:rFonts w:ascii="Carlito" w:hAnsi="Carlito"/>
                </w:rPr>
                <w:t>glacier.equilibrium@gmail.com</w:t>
              </w:r>
            </w:hyperlink>
          </w:p>
          <w:p>
            <w:pPr>
              <w:spacing w:before="0" w:after="0" w:line="240" w:lineRule="auto"/>
              <w:jc w:val="right"/>
            </w:pPr>
            <w:hyperlink r:id="rId11">
              <w:r>
                <w:rPr>
                  <w:color w:val="D7E4E7"/>
                  <w:u w:val="none"/>
                  <w:sz w:val="16"/>
                  <w:szCs w:val="16"/>
                  <w:rFonts w:ascii="Carlito" w:hAnsi="Carlito"/>
                </w:rPr>
                <w:t>casey-barton-glaciereq.vercel.app</w:t>
              </w:r>
            </w:hyperlink>
          </w:p>
          <w:p>
            <w:pPr>
              <w:spacing w:before="0" w:after="0" w:line="240" w:lineRule="auto"/>
              <w:jc w:val="right"/>
            </w:pPr>
            <w:hyperlink r:id="rId12">
              <w:r>
                <w:rPr>
                  <w:color w:val="D7E4E7"/>
                  <w:u w:val="none"/>
                  <w:sz w:val="16"/>
                  <w:szCs w:val="16"/>
                  <w:rFonts w:ascii="Carlito" w:hAnsi="Carlito"/>
                </w:rPr>
                <w:t>github.com/GlacierEQ</w:t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CellSpacing w:w="0" w:type="dxa"/>
      </w:tblPr>
      <w:tblGrid>
        <w:gridCol w:w="10224"/>
      </w:tblGrid>
      <w:tr>
        <w:tc>
          <w:tcPr>
            <w:tcW w:type="dxa" w:w="10224"/>
            <w:shd w:fill="EEF6F4"/>
            <w:tcMar>
              <w:top w:w="80" w:type="dxa"/>
              <w:start w:w="105" w:type="dxa"/>
              <w:bottom w:w="80" w:type="dxa"/>
              <w:end w:w="105" w:type="dxa"/>
            </w:tcMar>
            <w:tcBorders>
              <w:top w:val="single" w:sz="5" w:color="087A73"/>
              <w:left w:val="single" w:sz="5" w:color="087A73"/>
              <w:bottom w:val="single" w:sz="5" w:color="087A73"/>
              <w:right w:val="single" w:sz="5" w:color="087A73"/>
            </w:tcBorders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SYSTEMS SIGNAL</w:t>
            </w:r>
          </w:p>
          <w:p>
            <w:pPr>
              <w:spacing w:before="0" w:after="0" w:line="252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8"/>
              </w:rPr>
              <w:t>Applied AI systems architect who turns ambitious, ambiguous ideas into bounded operating systems with explicit authority, deterministic evidence, controlled failure behavior, and inspectable completion receipts. The method is simple: observe the actual system, separate evidence from inference, isolate the governing failure, build the narrowest useful mechanism, test the stated behavior, expose the limit, and leave a usable artifact.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7FAF9"/>
            <w:tcMar>
              <w:top w:w="55" w:type="dxa"/>
              <w:start w:w="35" w:type="dxa"/>
              <w:bottom w:w="55" w:type="dxa"/>
              <w:end w:w="3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Carlito" w:hAnsi="Carlito" w:eastAsia="Carlito"/>
                <w:b/>
                <w:i w:val="0"/>
                <w:color w:val="087A73"/>
                <w:sz w:val="28"/>
              </w:rPr>
              <w:t>69/69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4"/>
              </w:rPr>
              <w:t>Receipt Router tests</w:t>
            </w:r>
          </w:p>
        </w:tc>
        <w:tc>
          <w:tcPr>
            <w:tcW w:type="dxa" w:w="2556"/>
            <w:shd w:fill="EEF6F4"/>
            <w:tcMar>
              <w:top w:w="55" w:type="dxa"/>
              <w:start w:w="35" w:type="dxa"/>
              <w:bottom w:w="55" w:type="dxa"/>
              <w:end w:w="3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Carlito" w:hAnsi="Carlito" w:eastAsia="Carlito"/>
                <w:b/>
                <w:i w:val="0"/>
                <w:color w:val="087A73"/>
                <w:sz w:val="28"/>
              </w:rPr>
              <w:t>166 + 19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4"/>
              </w:rPr>
              <w:t>source + memory tests</w:t>
            </w:r>
          </w:p>
        </w:tc>
        <w:tc>
          <w:tcPr>
            <w:tcW w:type="dxa" w:w="2556"/>
            <w:shd w:fill="F7FAF9"/>
            <w:tcMar>
              <w:top w:w="55" w:type="dxa"/>
              <w:start w:w="35" w:type="dxa"/>
              <w:bottom w:w="55" w:type="dxa"/>
              <w:end w:w="3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Carlito" w:hAnsi="Carlito" w:eastAsia="Carlito"/>
                <w:b/>
                <w:i w:val="0"/>
                <w:color w:val="087A73"/>
                <w:sz w:val="28"/>
              </w:rPr>
              <w:t>67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4"/>
              </w:rPr>
              <w:t>Helix admitted public set</w:t>
            </w:r>
          </w:p>
        </w:tc>
        <w:tc>
          <w:tcPr>
            <w:tcW w:type="dxa" w:w="2556"/>
            <w:shd w:fill="EEF6F4"/>
            <w:tcMar>
              <w:top w:w="55" w:type="dxa"/>
              <w:start w:w="35" w:type="dxa"/>
              <w:bottom w:w="55" w:type="dxa"/>
              <w:end w:w="3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Carlito" w:hAnsi="Carlito" w:eastAsia="Carlito"/>
                <w:b/>
                <w:i w:val="0"/>
                <w:color w:val="087A73"/>
                <w:sz w:val="28"/>
              </w:rPr>
              <w:t>62/62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4"/>
              </w:rPr>
              <w:t>Agent Coordinator tests</w:t>
            </w:r>
          </w:p>
        </w:tc>
      </w:tr>
    </w:tbl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PROOF AT WORK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064"/>
        <w:gridCol w:w="2160"/>
      </w:tblGrid>
      <w:tr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20"/>
              </w:rPr>
              <w:t>GlacierEQ</w:t>
            </w:r>
            <w:r>
              <w:rPr>
                <w:rFonts w:ascii="Carlito" w:hAnsi="Carlito" w:eastAsia="Carlito"/>
                <w:b w:val="0"/>
                <w:i w:val="0"/>
                <w:color w:val="5B6D75"/>
                <w:sz w:val="18"/>
              </w:rPr>
              <w:t xml:space="preserve">  |  </w:t>
            </w:r>
            <w:r>
              <w:rPr>
                <w:rFonts w:ascii="Carlito" w:hAnsi="Carlito" w:eastAsia="Carlito"/>
                <w:b/>
                <w:i w:val="0"/>
                <w:color w:val="087A73"/>
                <w:sz w:val="18"/>
              </w:rPr>
              <w:t>Founder / Applied AI Systems Builder</w:t>
            </w:r>
          </w:p>
        </w:tc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rlito" w:hAnsi="Carlito" w:eastAsia="Carlito"/>
                <w:b/>
                <w:i w:val="0"/>
                <w:color w:val="5B6D75"/>
                <w:sz w:val="16"/>
              </w:rPr>
              <w:t>Jan 2025-Present</w:t>
            </w:r>
          </w:p>
        </w:tc>
      </w:tr>
    </w:tbl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Design and implement evidence-bound systems spanning agent orchestration, application intelligence, document and evidence pipelines, memory and continuity, infrastructure governance, and human-machine interfaces.</w:t>
      </w:r>
    </w:p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Convert broad architecture into typed contracts, runnable slices, deterministic tests, explicit refusal behavior, machine-readable facts, and reviewable completion receipts.</w:t>
      </w:r>
    </w:p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Built a public Portfolio Receipt Router that replaced unsupported autonomous-control semantics with a local fail-closed evidence system; 69/69 tests passed through direct and reusable CI with zero external actions.</w:t>
      </w:r>
    </w:p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Govern a multi-repository engineering estate by separating source presence, review, execution, deployment, authority, and verified completion so public claims cannot outrun 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064"/>
        <w:gridCol w:w="2160"/>
      </w:tblGrid>
      <w:tr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20"/>
              </w:rPr>
              <w:t>Diamond Head Home Inspections</w:t>
            </w:r>
            <w:r>
              <w:rPr>
                <w:rFonts w:ascii="Carlito" w:hAnsi="Carlito" w:eastAsia="Carlito"/>
                <w:b w:val="0"/>
                <w:i w:val="0"/>
                <w:color w:val="5B6D75"/>
                <w:sz w:val="18"/>
              </w:rPr>
              <w:t xml:space="preserve">  |  </w:t>
            </w:r>
            <w:r>
              <w:rPr>
                <w:rFonts w:ascii="Carlito" w:hAnsi="Carlito" w:eastAsia="Carlito"/>
                <w:b/>
                <w:i w:val="0"/>
                <w:color w:val="087A73"/>
                <w:sz w:val="18"/>
              </w:rPr>
              <w:t>Certified Home Inspector</w:t>
            </w:r>
          </w:p>
        </w:tc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rlito" w:hAnsi="Carlito" w:eastAsia="Carlito"/>
                <w:b/>
                <w:i w:val="0"/>
                <w:color w:val="5B6D75"/>
                <w:sz w:val="16"/>
              </w:rPr>
              <w:t>2020-2024</w:t>
            </w:r>
          </w:p>
        </w:tc>
      </w:tr>
    </w:tbl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Inspected residential structural, roofing, electrical, plumbing, HVAC, moisture, and safety conditions; translated field evidence into clear, decision-ready reports under time constraints.</w:t>
      </w:r>
    </w:p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Built disciplined habits around uncertainty labeling, defect prioritization, interacting-system analysis, client communication, and avoiding unsupported conclusions.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064"/>
        <w:gridCol w:w="2160"/>
      </w:tblGrid>
      <w:tr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20"/>
              </w:rPr>
              <w:t>Hi-Class Home Services / Hi Class Maintenance Oahu LLC</w:t>
            </w:r>
            <w:r>
              <w:rPr>
                <w:rFonts w:ascii="Carlito" w:hAnsi="Carlito" w:eastAsia="Carlito"/>
                <w:b w:val="0"/>
                <w:i w:val="0"/>
                <w:color w:val="5B6D75"/>
                <w:sz w:val="18"/>
              </w:rPr>
              <w:t xml:space="preserve">  |  </w:t>
            </w:r>
            <w:r>
              <w:rPr>
                <w:rFonts w:ascii="Carlito" w:hAnsi="Carlito" w:eastAsia="Carlito"/>
                <w:b/>
                <w:i w:val="0"/>
                <w:color w:val="087A73"/>
                <w:sz w:val="18"/>
              </w:rPr>
              <w:t>Owner-Operator, Building Systems &amp; Field Services</w:t>
            </w:r>
          </w:p>
        </w:tc>
        <w:tc>
          <w:tcPr>
            <w:tcW w:type="dxa" w:w="5112"/>
            <w:tcMar>
              <w:top w:w="25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rlito" w:hAnsi="Carlito" w:eastAsia="Carlito"/>
                <w:b/>
                <w:i w:val="0"/>
                <w:color w:val="5B6D75"/>
                <w:sz w:val="16"/>
              </w:rPr>
              <w:t>2017-Present</w:t>
            </w:r>
          </w:p>
        </w:tc>
      </w:tr>
    </w:tbl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Scope residential repair and service work, prepare estimates, coordinate execution, and communicate assumptions, constraints, and completion status with clients.</w:t>
      </w:r>
    </w:p>
    <w:p>
      <w:pPr>
        <w:pStyle w:val="ListBullet"/>
        <w:spacing w:before="0" w:after="14" w:line="247" w:lineRule="auto"/>
        <w:ind w:left="259" w:hanging="202"/>
      </w:pPr>
      <w:r>
        <w:rPr>
          <w:rFonts w:ascii="Carlito" w:hAnsi="Carlito" w:eastAsia="Carlito"/>
          <w:b w:val="0"/>
          <w:i w:val="0"/>
          <w:color w:val="14232A"/>
          <w:sz w:val="17"/>
        </w:rPr>
        <w:t>Translate incomplete real-world requirements into bounded work packages, explicit assumptions, and usable closeout artifacts.</w:t>
      </w:r>
    </w:p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CAPABILITY FIELD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Core Capabilities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5112"/>
        <w:gridCol w:w="5112"/>
      </w:tblGrid>
      <w:tr>
        <w:tc>
          <w:tcPr>
            <w:tcW w:type="dxa" w:w="5112"/>
            <w:shd w:fill="EEF6F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6"/>
              </w:rPr>
              <w:t>Agent infrastructure &amp; governance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Multi-agent coordination; MCP and tool contracts; capability/authority separation; approval models; state machines; bounded retries; recovery and closure.</w:t>
            </w:r>
          </w:p>
        </w:tc>
        <w:tc>
          <w:tcPr>
            <w:tcW w:type="dxa" w:w="5112"/>
            <w:shd w:fill="F7FAF9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6"/>
              </w:rPr>
              <w:t>Evidence &amp; release engineering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Provenance; claim-to-source mapping; deterministic testing; JSON Schema; CI/CD; static analysis; dependency auditing; integrity hashing; machine-readable receipts.</w:t>
            </w:r>
          </w:p>
        </w:tc>
      </w:tr>
      <w:tr>
        <w:tc>
          <w:tcPr>
            <w:tcW w:type="dxa" w:w="5112"/>
            <w:shd w:fill="F7FAF9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6"/>
              </w:rPr>
              <w:t>Application &amp; document intelligence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Role research; evidence-qualified resume generation; document extraction; structured artifacts; human and machine presentation surfaces.</w:t>
            </w:r>
          </w:p>
        </w:tc>
        <w:tc>
          <w:tcPr>
            <w:tcW w:type="dxa" w:w="5112"/>
            <w:shd w:fill="EEF6F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6"/>
              </w:rPr>
              <w:t>Primary technology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Python; TypeScript; JavaScript; SQL; Bash; Node.js; React; Next.js; FastAPI; REST; JSON-RPC 2.0; MCP; GitHub Actions; Docker; Vercel.</w:t>
            </w:r>
          </w:p>
        </w:tc>
      </w:tr>
    </w:tbl>
    <w:p>
      <w:r>
        <w:br w:type="page"/>
      </w:r>
    </w:p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SELECTED SYSTEMS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Evidence states, not hype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4680"/>
        <w:gridCol w:w="5544"/>
      </w:tblGrid>
      <w:tr>
        <w:tc>
          <w:tcPr>
            <w:tcW w:type="dxa" w:w="5112"/>
            <w:shd w:fill="EEF6F4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9"/>
              </w:rPr>
              <w:t>Portfolio Receipt Router</w:t>
            </w:r>
          </w:p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TEST VERIFIED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Fail-closed evidence routing and compatibility-safe architecture repair.</w:t>
            </w:r>
          </w:p>
        </w:tc>
        <w:tc>
          <w:tcPr>
            <w:tcW w:type="dxa" w:w="5112"/>
            <w:shd w:fill="EEF6F4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6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69/69 tests; direct and reusable CI; artifact 8910423397; zero external actions.</w:t>
            </w:r>
          </w:p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5"/>
              </w:rPr>
              <w:t>Independent technical exhibit; no production-operation or company-affiliation claim.</w:t>
            </w:r>
          </w:p>
        </w:tc>
      </w:tr>
      <w:tr>
        <w:tc>
          <w:tcPr>
            <w:tcW w:type="dxa" w:w="5112"/>
            <w:shd w:fill="F7FAF9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9"/>
              </w:rPr>
              <w:t>Job Application Helix</w:t>
            </w:r>
          </w:p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PARTIALLY VERIFIED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Evidence-governed hiring and portfolio orchestration with an exact 67-repository admitted public proof boundary.</w:t>
            </w:r>
          </w:p>
        </w:tc>
        <w:tc>
          <w:tcPr>
            <w:tcW w:type="dxa" w:w="5112"/>
            <w:shd w:fill="F7FAF9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6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Fail-closed evidence levels, repository-state separation, promotion gates, machine contracts, and role-calibrated package generation.</w:t>
            </w:r>
          </w:p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5"/>
              </w:rPr>
              <w:t>The 67 admitted repositories are a public proof set, not accomplishment count or the full owned estate; child repositories retain independent evidence states.</w:t>
            </w:r>
          </w:p>
        </w:tc>
      </w:tr>
      <w:tr>
        <w:tc>
          <w:tcPr>
            <w:tcW w:type="dxa" w:w="5112"/>
            <w:shd w:fill="EEF6F4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9"/>
              </w:rPr>
              <w:t>Agent Coordinator</w:t>
            </w:r>
          </w:p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RECORDED 62/62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Deterministic task ownership, dependency order, capacity, stable priority, and shared budgets.</w:t>
            </w:r>
          </w:p>
        </w:tc>
        <w:tc>
          <w:tcPr>
            <w:tcW w:type="dxa" w:w="5112"/>
            <w:shd w:fill="EEF6F4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6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62/62 recorded Python tests.</w:t>
            </w:r>
          </w:p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5"/>
              </w:rPr>
              <w:t>Hosted matrix and broader promotion gates remain separate.</w:t>
            </w:r>
          </w:p>
        </w:tc>
      </w:tr>
      <w:tr>
        <w:tc>
          <w:tcPr>
            <w:tcW w:type="dxa" w:w="5112"/>
            <w:shd w:fill="F7FAF9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9"/>
              </w:rPr>
              <w:t>AKOS / PSYSOC-X</w:t>
            </w:r>
          </w:p>
          <w:p>
            <w:pPr>
              <w:spacing w:before="0" w:after="4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BOUNDED VERIFIED SURFACES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Authority, evidence, closure, and deterministic audience-calibration primitives.</w:t>
            </w:r>
          </w:p>
        </w:tc>
        <w:tc>
          <w:tcPr>
            <w:tcW w:type="dxa" w:w="5112"/>
            <w:shd w:fill="F7FAF9"/>
            <w:tcMar>
              <w:top w:w="65" w:type="dxa"/>
              <w:start w:w="70" w:type="dxa"/>
              <w:bottom w:w="65" w:type="dxa"/>
              <w:end w:w="70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6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Repository-native verification supports bounded current surfaces.</w:t>
            </w:r>
          </w:p>
          <w:p>
            <w:pPr>
              <w:spacing w:before="0" w:after="20" w:line="240" w:lineRule="auto"/>
            </w:pPr>
            <w:r>
              <w:rPr>
                <w:rFonts w:ascii="Carlito" w:hAnsi="Carlito" w:eastAsia="Carlito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5"/>
              </w:rPr>
              <w:t>Presentation depth can change; facts, uncertainty, dignity, and authority may not.</w:t>
            </w:r>
          </w:p>
        </w:tc>
      </w:tr>
    </w:tbl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SYSTEMS FOUNDATION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Cross-domain operating perspective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2880"/>
        <w:gridCol w:w="7344"/>
      </w:tblGrid>
      <w:tr>
        <w:tc>
          <w:tcPr>
            <w:tcW w:type="dxa" w:w="5112"/>
            <w:shd w:fill="EEF6F4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5"/>
              </w:rPr>
              <w:t>Scientific measurement</w:t>
            </w:r>
          </w:p>
        </w:tc>
        <w:tc>
          <w:tcPr>
            <w:tcW w:type="dxa" w:w="5112"/>
            <w:shd w:fill="EEF6F4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University of Hawaii sea-urchin morphometric research, 2016-2017: processed physical measurements of gill structures to support visual species identification.</w:t>
            </w:r>
          </w:p>
        </w:tc>
      </w:tr>
      <w:tr>
        <w:tc>
          <w:tcPr>
            <w:tcW w:type="dxa" w:w="5112"/>
            <w:shd w:fill="F7FAF9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5"/>
              </w:rPr>
              <w:t>Compressed-gas systems</w:t>
            </w:r>
          </w:p>
        </w:tc>
        <w:tc>
          <w:tcPr>
            <w:tcW w:type="dxa" w:w="5112"/>
            <w:shd w:fill="F7FAF9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Scuba Tank Technician, Hawaiian Diving Adventures and UH Dive Office, 2016-2017: tank filling, transport, inspection and repair support, and gas mixing under safety-critical procedures.</w:t>
            </w:r>
          </w:p>
        </w:tc>
      </w:tr>
      <w:tr>
        <w:tc>
          <w:tcPr>
            <w:tcW w:type="dxa" w:w="5112"/>
            <w:shd w:fill="EEF6F4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087A73"/>
                <w:sz w:val="15"/>
              </w:rPr>
              <w:t>Field systems operations</w:t>
            </w:r>
          </w:p>
        </w:tc>
        <w:tc>
          <w:tcPr>
            <w:tcW w:type="dxa" w:w="5112"/>
            <w:shd w:fill="EEF6F4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2" w:color="D4E4E1"/>
              <w:left w:val="single" w:sz="2" w:color="D4E4E1"/>
              <w:bottom w:val="single" w:sz="2" w:color="D4E4E1"/>
              <w:right w:val="single" w:sz="2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Residential inspection and repair work developed practical judgment around interacting systems, failure consequences, uncertainty, and clear client communication.</w:t>
            </w:r>
          </w:p>
        </w:tc>
      </w:tr>
    </w:tbl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TECHNICAL PROFILE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Tools and architecture</w:t>
      </w:r>
    </w:p>
    <w:p>
      <w:pPr>
        <w:spacing w:before="0" w:after="40" w:line="240" w:lineRule="auto"/>
      </w:pPr>
      <w:r>
        <w:rPr>
          <w:rFonts w:ascii="Carlito" w:hAnsi="Carlito" w:eastAsia="Carlito"/>
          <w:b/>
          <w:i w:val="0"/>
          <w:color w:val="087A73"/>
          <w:sz w:val="16"/>
        </w:rPr>
        <w:t xml:space="preserve">Primary: </w:t>
      </w:r>
      <w:r>
        <w:rPr>
          <w:rFonts w:ascii="Carlito" w:hAnsi="Carlito" w:eastAsia="Carlito"/>
          <w:b w:val="0"/>
          <w:i w:val="0"/>
          <w:color w:val="14232A"/>
          <w:sz w:val="16"/>
        </w:rPr>
        <w:t>Python, TypeScript, JavaScript, SQL, Bash, Node.js, React, Next.js, FastAPI</w:t>
      </w:r>
    </w:p>
    <w:p>
      <w:pPr>
        <w:spacing w:before="0" w:after="40" w:line="240" w:lineRule="auto"/>
      </w:pPr>
      <w:r>
        <w:rPr>
          <w:rFonts w:ascii="Carlito" w:hAnsi="Carlito" w:eastAsia="Carlito"/>
          <w:b/>
          <w:i w:val="0"/>
          <w:color w:val="087A73"/>
          <w:sz w:val="16"/>
        </w:rPr>
        <w:t xml:space="preserve">Architecture: </w:t>
      </w:r>
      <w:r>
        <w:rPr>
          <w:rFonts w:ascii="Carlito" w:hAnsi="Carlito" w:eastAsia="Carlito"/>
          <w:b w:val="0"/>
          <w:i w:val="0"/>
          <w:color w:val="14232A"/>
          <w:sz w:val="16"/>
        </w:rPr>
        <w:t>REST, JSON-RPC 2.0, MCP, JSON Schema, Protocol Buffers, events, state machines, idempotency, authority models, evidence models</w:t>
      </w:r>
    </w:p>
    <w:p>
      <w:pPr>
        <w:spacing w:before="0" w:after="40" w:line="240" w:lineRule="auto"/>
      </w:pPr>
      <w:r>
        <w:rPr>
          <w:rFonts w:ascii="Carlito" w:hAnsi="Carlito" w:eastAsia="Carlito"/>
          <w:b/>
          <w:i w:val="0"/>
          <w:color w:val="087A73"/>
          <w:sz w:val="16"/>
        </w:rPr>
        <w:t xml:space="preserve">Delivery: </w:t>
      </w:r>
      <w:r>
        <w:rPr>
          <w:rFonts w:ascii="Carlito" w:hAnsi="Carlito" w:eastAsia="Carlito"/>
          <w:b w:val="0"/>
          <w:i w:val="0"/>
          <w:color w:val="14232A"/>
          <w:sz w:val="16"/>
        </w:rPr>
        <w:t>Git, GitHub Actions, Docker, Vercel, automated testing, static analysis, dependency auditing, deterministic release checks</w:t>
      </w:r>
    </w:p>
    <w:p>
      <w:pPr>
        <w:spacing w:before="0" w:after="0" w:line="240" w:lineRule="auto"/>
      </w:pPr>
      <w:r>
        <w:rPr>
          <w:rFonts w:ascii="Carlito" w:hAnsi="Carlito" w:eastAsia="Carlito"/>
          <w:b/>
          <w:i w:val="0"/>
          <w:color w:val="087A73"/>
          <w:sz w:val="16"/>
        </w:rPr>
        <w:t xml:space="preserve">Additional evidence-bounded exposure: </w:t>
      </w:r>
      <w:r>
        <w:rPr>
          <w:rFonts w:ascii="Carlito" w:hAnsi="Carlito" w:eastAsia="Carlito"/>
          <w:b w:val="0"/>
          <w:i w:val="0"/>
          <w:color w:val="14232A"/>
          <w:sz w:val="16"/>
        </w:rPr>
        <w:t>Go, Rust, C, C++, CUDA, Swift/Metal, Julia, R, Verilog/SystemVerilog, WebAssembly</w:t>
      </w:r>
    </w:p>
    <w:p>
      <w:pPr>
        <w:spacing w:before="140" w:after="20" w:line="240" w:lineRule="auto"/>
      </w:pPr>
      <w:r>
        <w:rPr>
          <w:rFonts w:ascii="Carlito" w:hAnsi="Carlito" w:eastAsia="Carlito"/>
          <w:b/>
          <w:i w:val="0"/>
          <w:color w:val="087A73"/>
          <w:sz w:val="14"/>
        </w:rPr>
        <w:t>EDUCATION</w:t>
      </w:r>
    </w:p>
    <w:p>
      <w:pPr>
        <w:spacing w:before="0" w:after="80" w:line="240" w:lineRule="auto"/>
        <w:pBdr>
          <w:bottom w:val="single" w:sz="8" w:space="2" w:color="087A73"/>
        </w:pBdr>
      </w:pPr>
      <w:r>
        <w:rPr>
          <w:rFonts w:ascii="Carlito" w:hAnsi="Carlito" w:eastAsia="Carlito"/>
          <w:b/>
          <w:i w:val="0"/>
          <w:color w:val="14232A"/>
          <w:sz w:val="26"/>
        </w:rPr>
        <w:t>Scientific foundation and current cloud training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6336"/>
        <w:gridCol w:w="3888"/>
      </w:tblGrid>
      <w:tr>
        <w:tc>
          <w:tcPr>
            <w:tcW w:type="dxa" w:w="5112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7"/>
              </w:rPr>
              <w:t>University of Hawaii at Manoa</w:t>
            </w:r>
          </w:p>
        </w:tc>
        <w:tc>
          <w:tcPr>
            <w:tcW w:type="dxa" w:w="5112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6"/>
              </w:rPr>
              <w:t>B.S., Marine Biology - 2016</w:t>
            </w:r>
          </w:p>
        </w:tc>
      </w:tr>
      <w:tr>
        <w:tc>
          <w:tcPr>
            <w:tcW w:type="dxa" w:w="5112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14232A"/>
                <w:sz w:val="17"/>
              </w:rPr>
              <w:t>AWS Cloud Institute</w:t>
            </w:r>
          </w:p>
        </w:tc>
        <w:tc>
          <w:tcPr>
            <w:tcW w:type="dxa" w:w="5112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rlito" w:hAnsi="Carlito" w:eastAsia="Carlito"/>
                <w:b w:val="0"/>
                <w:i w:val="0"/>
                <w:color w:val="5B6D75"/>
                <w:sz w:val="16"/>
              </w:rPr>
              <w:t>Cloud Application Developer program - 2025-2026, in progress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CellSpacing w:w="0" w:type="dxa"/>
      </w:tblPr>
      <w:tblGrid>
        <w:gridCol w:w="10224"/>
      </w:tblGrid>
      <w:tr>
        <w:tc>
          <w:tcPr>
            <w:tcW w:type="dxa" w:w="10224"/>
            <w:shd w:fill="FFF5DE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E5B34B"/>
              <w:left w:val="single" w:sz="4" w:color="E5B34B"/>
              <w:bottom w:val="single" w:sz="4" w:color="E5B34B"/>
              <w:right w:val="single" w:sz="4" w:color="E5B34B"/>
            </w:tcBorders>
          </w:tcPr>
          <w:p>
            <w:pPr>
              <w:spacing w:before="0" w:after="0" w:line="240" w:lineRule="auto"/>
            </w:pPr>
            <w:r>
              <w:rPr>
                <w:rFonts w:ascii="Carlito" w:hAnsi="Carlito" w:eastAsia="Carlito"/>
                <w:b/>
                <w:i w:val="0"/>
                <w:color w:val="A56600"/>
                <w:sz w:val="15"/>
              </w:rPr>
              <w:t xml:space="preserve">EVIDENCE BOUNDARY  </w:t>
            </w:r>
            <w:r>
              <w:rPr>
                <w:rFonts w:ascii="Carlito" w:hAnsi="Carlito" w:eastAsia="Carlito"/>
                <w:b w:val="0"/>
                <w:i w:val="0"/>
                <w:color w:val="14232A"/>
                <w:sz w:val="15"/>
              </w:rPr>
              <w:t>Independent GlacierEQ work and bounded technical exhibits. Test counts refer only to their stated repository and scope. No company affiliation, proprietary access, production deployment, customer impact, formal people-management experience, current certification status, hardware validation, or measured business outcome is claimed without direct evidence.</w:t>
            </w:r>
          </w:p>
        </w:tc>
      </w:tr>
    </w:tbl>
    <w:sectPr w:rsidR="00FC693F" w:rsidRPr="0006063C" w:rsidSect="00034616">
      <w:footerReference w:type="default" r:id="rId13"/>
      <w:pgSz w:w="12240" w:h="15840"/>
      <w:pgMar w:top="864" w:right="1008" w:bottom="864" w:left="1008" w:header="317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rlito" w:hAnsi="Carlito" w:eastAsia="Carlito"/>
        <w:b/>
        <w:i w:val="0"/>
        <w:color w:val="5B6D75"/>
        <w:sz w:val="13"/>
      </w:rPr>
      <w:t>CASEY BARTON  |  EVIDENCE-BOUND AI SYSTEMS  |  HONOLULU, HAWAII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rlito" w:hAnsi="Carlito" w:eastAsia="Carlito"/>
      <w:color w:val="1423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rlito" w:hAnsi="Carlito" w:eastAsia="Carlito"/>
      <w:color w:val="14232A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089365654" TargetMode="External"/><Relationship Id="rId10" Type="http://schemas.openxmlformats.org/officeDocument/2006/relationships/hyperlink" Target="mailto:glacier.equilibrium@gmail.com" TargetMode="External"/><Relationship Id="rId11" Type="http://schemas.openxmlformats.org/officeDocument/2006/relationships/hyperlink" Target="https://casey-barton-glaciereq.vercel.app/" TargetMode="External"/><Relationship Id="rId12" Type="http://schemas.openxmlformats.org/officeDocument/2006/relationships/hyperlink" Target="https://github.com/GlacierEQ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Casey Barton - Applied AI Systems Architect Resume</dc:title>
  <dc:subject>Evidence-bound applied AI systems resume</dc:subject>
  <dc:creator>Casey Del Carpio Barton</dc:creator>
  <cp:keywords/>
  <dc:description>Current claims are separated from ambition and bounded to stated evidence.</dc:description>
  <cp:lastModifiedBy/>
  <cp:revision>1</cp:revision>
  <dcterms:created xsi:type="dcterms:W3CDTF">2026-08-05T00:00:00Z</dcterms:created>
  <dcterms:modified xsi:type="dcterms:W3CDTF">2026-08-05T00:00:00Z</dcterms:modified>
  <cp:category/>
</cp:coreProperties>
</file>