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DDD9C4" w:themeFill="background2" w:themeFillShade="E6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 4321 - Video Lecture Expectations</w:t>
      </w:r>
    </w:p>
    <w:p>
      <w:pPr/>
    </w:p>
    <w:p>
      <w:pPr>
        <w:shd w:val="clear" w:color="auto" w:fill="DDD9C4" w:themeFill="background2" w:themeFillShade="E6"/>
        <w:rPr>
          <w:b/>
          <w:sz w:val="24"/>
        </w:rPr>
      </w:pPr>
      <w:r>
        <w:rPr>
          <w:b/>
          <w:sz w:val="24"/>
        </w:rPr>
        <w:t>Video P4L2: Black Box Testing (46 minutes)</w:t>
      </w:r>
    </w:p>
    <w:p>
      <w:pPr/>
    </w:p>
    <w:p>
      <w:pPr/>
      <w:r>
        <w:t>Note: Stop after “Category Partition Demo.”</w:t>
      </w:r>
    </w:p>
    <w:p>
      <w:pPr/>
    </w:p>
    <w:p>
      <w:pPr>
        <w:pStyle w:val="12"/>
        <w:numPr>
          <w:ilvl w:val="0"/>
          <w:numId w:val="1"/>
        </w:numPr>
      </w:pPr>
      <w:r>
        <w:t>Black-box testing is also called ___________________________________</w:t>
      </w:r>
    </w:p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 xml:space="preserve">List four advantages of black-box testing. 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</w:tbl>
    <w:p>
      <w:pPr/>
    </w:p>
    <w:p>
      <w:pPr>
        <w:pStyle w:val="12"/>
        <w:numPr>
          <w:ilvl w:val="0"/>
          <w:numId w:val="1"/>
        </w:numPr>
      </w:pPr>
      <w:r>
        <w:t>List the three steps in moving from a functional specification to test cases.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List two ways to identify the relevant inputs (also called test data selection)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Random testing eliminates _______________________</w:t>
      </w:r>
    </w:p>
    <w:p>
      <w:pPr>
        <w:pStyle w:val="12"/>
        <w:numPr>
          <w:ilvl w:val="0"/>
          <w:numId w:val="1"/>
        </w:numPr>
      </w:pPr>
      <w:r>
        <w:t>What is designer bias?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Why is random testing not the best approach?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Failures tend to be _______________ but _______________ in the input domain.</w:t>
      </w:r>
    </w:p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What are partitions/subdomains of the input domain?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Errors tend to occur at the ________________ of a partition/subdomain</w:t>
      </w:r>
    </w:p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A specific black-box testing approach is ________________________ method</w:t>
      </w:r>
    </w:p>
    <w:p>
      <w:pPr/>
    </w:p>
    <w:p>
      <w:pPr>
        <w:pStyle w:val="12"/>
        <w:numPr>
          <w:ilvl w:val="0"/>
          <w:numId w:val="1"/>
        </w:numPr>
      </w:pPr>
      <w:r>
        <w:t>What are the 6 steps in the category-partition method?</w:t>
      </w:r>
    </w:p>
    <w:p>
      <w:pPr>
        <w:pStyle w:val="12"/>
      </w:pP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</w:tbl>
    <w:p>
      <w:pPr/>
    </w:p>
    <w:p>
      <w:pPr>
        <w:pStyle w:val="12"/>
        <w:numPr>
          <w:ilvl w:val="0"/>
          <w:numId w:val="1"/>
        </w:numPr>
      </w:pPr>
      <w:r>
        <w:t>When identifying categories we determine ________________ of each input element</w:t>
      </w:r>
    </w:p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When partitioning categories into choices we identify interesting  ________________ of each category</w:t>
      </w:r>
    </w:p>
    <w:p>
      <w:pPr>
        <w:pStyle w:val="12"/>
      </w:pPr>
    </w:p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What two reasons do we identify constraints among choices?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List the three types of constraints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When combining choices we use a ____________________ constraint to make sure we don’t generate meaningless test cases</w:t>
      </w:r>
    </w:p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When combining choices we use a ____________________ constraint to make sure a choice is tested only once</w:t>
      </w:r>
    </w:p>
    <w:p>
      <w:pPr>
        <w:pStyle w:val="12"/>
      </w:pPr>
    </w:p>
    <w:p>
      <w:pPr>
        <w:pStyle w:val="12"/>
        <w:numPr>
          <w:ilvl w:val="0"/>
          <w:numId w:val="1"/>
        </w:numPr>
      </w:pPr>
      <w:r>
        <w:t>We generate a specific test case from a __________________</w:t>
      </w:r>
    </w:p>
    <w:p>
      <w:pPr/>
    </w:p>
    <w:p>
      <w:pPr>
        <w:pStyle w:val="12"/>
        <w:ind w:left="360"/>
      </w:pPr>
    </w:p>
    <w:sectPr>
      <w:footerReference r:id="rId3" w:type="default"/>
      <w:pgSz w:w="12240" w:h="15840"/>
      <w:pgMar w:top="1080" w:right="720" w:bottom="72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</w:rPr>
      <w:id w:val="1745223960"/>
    </w:sdtPr>
    <w:sdtEndPr>
      <w:rPr>
        <w:sz w:val="20"/>
      </w:rPr>
    </w:sdtEndPr>
    <w:sdtContent>
      <w:p>
        <w:pPr>
          <w:pStyle w:val="3"/>
          <w:jc w:val="center"/>
          <w:rPr>
            <w:sz w:val="20"/>
          </w:rPr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  \* MERGEFORMAT </w:instrText>
        </w:r>
        <w:r>
          <w:rPr>
            <w:sz w:val="20"/>
          </w:rPr>
          <w:fldChar w:fldCharType="separate"/>
        </w:r>
        <w:r>
          <w:rPr>
            <w:sz w:val="20"/>
          </w:rPr>
          <w:t>1</w:t>
        </w:r>
        <w:r>
          <w:rPr>
            <w:sz w:val="20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2402273">
    <w:nsid w:val="437F1661"/>
    <w:multiLevelType w:val="multilevel"/>
    <w:tmpl w:val="437F1661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324022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69"/>
    <w:rsid w:val="0003419F"/>
    <w:rsid w:val="000661FA"/>
    <w:rsid w:val="00080F9E"/>
    <w:rsid w:val="000811FA"/>
    <w:rsid w:val="00095B91"/>
    <w:rsid w:val="000D52A8"/>
    <w:rsid w:val="000F2FB2"/>
    <w:rsid w:val="00144AE2"/>
    <w:rsid w:val="001760DA"/>
    <w:rsid w:val="0019333D"/>
    <w:rsid w:val="001B271E"/>
    <w:rsid w:val="001E62BC"/>
    <w:rsid w:val="001F4FC5"/>
    <w:rsid w:val="00262E8B"/>
    <w:rsid w:val="003048D7"/>
    <w:rsid w:val="003B707E"/>
    <w:rsid w:val="004822D8"/>
    <w:rsid w:val="004B2BDB"/>
    <w:rsid w:val="004D3CE5"/>
    <w:rsid w:val="005C466D"/>
    <w:rsid w:val="005F6C2E"/>
    <w:rsid w:val="00605A83"/>
    <w:rsid w:val="006F6F80"/>
    <w:rsid w:val="007D28E4"/>
    <w:rsid w:val="007F78BF"/>
    <w:rsid w:val="00812576"/>
    <w:rsid w:val="00812B8B"/>
    <w:rsid w:val="0082127D"/>
    <w:rsid w:val="008644EF"/>
    <w:rsid w:val="008911D9"/>
    <w:rsid w:val="008E0824"/>
    <w:rsid w:val="00937384"/>
    <w:rsid w:val="009612B6"/>
    <w:rsid w:val="00990B4A"/>
    <w:rsid w:val="00993428"/>
    <w:rsid w:val="009B26E4"/>
    <w:rsid w:val="009B33CB"/>
    <w:rsid w:val="009C0627"/>
    <w:rsid w:val="009C2CE7"/>
    <w:rsid w:val="009E34AE"/>
    <w:rsid w:val="00AD24A5"/>
    <w:rsid w:val="00AD45AA"/>
    <w:rsid w:val="00AE6E61"/>
    <w:rsid w:val="00B13516"/>
    <w:rsid w:val="00B2244E"/>
    <w:rsid w:val="00B35759"/>
    <w:rsid w:val="00B933F0"/>
    <w:rsid w:val="00BB2F73"/>
    <w:rsid w:val="00BB3ECB"/>
    <w:rsid w:val="00BF1ABD"/>
    <w:rsid w:val="00C4437B"/>
    <w:rsid w:val="00C529BA"/>
    <w:rsid w:val="00C90586"/>
    <w:rsid w:val="00CB1C21"/>
    <w:rsid w:val="00D60661"/>
    <w:rsid w:val="00DC2E9A"/>
    <w:rsid w:val="00E31030"/>
    <w:rsid w:val="00E46439"/>
    <w:rsid w:val="00E50B7E"/>
    <w:rsid w:val="00E61945"/>
    <w:rsid w:val="00E87319"/>
    <w:rsid w:val="00E928E2"/>
    <w:rsid w:val="00E92D8C"/>
    <w:rsid w:val="00EF0B84"/>
    <w:rsid w:val="00F02088"/>
    <w:rsid w:val="00F80B31"/>
    <w:rsid w:val="00F94669"/>
    <w:rsid w:val="00FB6922"/>
    <w:rsid w:val="4DBF8F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endnote reference"/>
    <w:basedOn w:val="5"/>
    <w:unhideWhenUsed/>
    <w:uiPriority w:val="99"/>
    <w:rPr>
      <w:rFonts w:asciiTheme="minorHAnsi" w:hAnsiTheme="minorHAnsi"/>
      <w:sz w:val="20"/>
      <w:vertAlign w:val="superscript"/>
    </w:rPr>
  </w:style>
  <w:style w:type="character" w:styleId="7">
    <w:name w:val="footnote reference"/>
    <w:semiHidden/>
    <w:uiPriority w:val="0"/>
    <w:rPr>
      <w:vertAlign w:val="superscript"/>
    </w:rPr>
  </w:style>
  <w:style w:type="character" w:styleId="8">
    <w:name w:val="Hyperlink"/>
    <w:basedOn w:val="5"/>
    <w:unhideWhenUsed/>
    <w:uiPriority w:val="99"/>
    <w:rPr>
      <w:rFonts w:asciiTheme="minorHAnsi" w:hAnsiTheme="minorHAnsi"/>
      <w:color w:val="0000FF" w:themeColor="hyperlink"/>
      <w:sz w:val="22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5"/>
    <w:unhideWhenUsed/>
    <w:uiPriority w:val="99"/>
    <w:rPr>
      <w:rFonts w:asciiTheme="minorHAnsi" w:hAnsiTheme="minorHAnsi"/>
      <w:sz w:val="20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er Char"/>
    <w:basedOn w:val="5"/>
    <w:link w:val="4"/>
    <w:uiPriority w:val="99"/>
  </w:style>
  <w:style w:type="character" w:customStyle="1" w:styleId="15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Valdosta State University</Company>
  <Pages>2</Pages>
  <Words>219</Words>
  <Characters>1250</Characters>
  <Lines>10</Lines>
  <Paragraphs>2</Paragraphs>
  <TotalTime>0</TotalTime>
  <ScaleCrop>false</ScaleCrop>
  <LinksUpToDate>false</LinksUpToDate>
  <CharactersWithSpaces>1467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2017-01-10T09:01:00Z</dcterms:created>
  <dc:creator>Dave Gibson</dc:creator>
  <cp:lastModifiedBy>gladiator351</cp:lastModifiedBy>
  <cp:lastPrinted>2017-08-04T08:47:00Z</cp:lastPrinted>
  <dcterms:modified xsi:type="dcterms:W3CDTF">2017-10-16T10:11:13Z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