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C12D5" w14:textId="77777777" w:rsidR="008D0875" w:rsidRPr="00F66189" w:rsidRDefault="008D0875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GT"/>
        </w:rPr>
        <w:t>SUBSECTOR ELECTRICO Y MERCADOS ELECTRICOS</w:t>
      </w:r>
    </w:p>
    <w:p w14:paraId="213B3ED0" w14:textId="55076959" w:rsidR="008D0875" w:rsidRPr="00F66189" w:rsidRDefault="008D0875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</w:p>
    <w:p w14:paraId="78E56556" w14:textId="18616775" w:rsidR="008D0875" w:rsidRPr="00F66189" w:rsidRDefault="008D0875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·      </w:t>
      </w:r>
      <w:proofErr w:type="gramStart"/>
      <w:r w:rsidRPr="00F66189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   ¿</w:t>
      </w:r>
      <w:proofErr w:type="gramEnd"/>
      <w:r w:rsidRPr="00F66189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Qué es y cuál es la función del MEM?</w:t>
      </w:r>
    </w:p>
    <w:p w14:paraId="6BCAAB19" w14:textId="45146C68" w:rsidR="00AA0EEF" w:rsidRPr="00F66189" w:rsidRDefault="00AA0EEF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GT"/>
        </w:rPr>
        <w:t>MEM:</w:t>
      </w:r>
      <w:r w:rsidRPr="00F66189">
        <w:rPr>
          <w:rFonts w:ascii="Arial" w:eastAsia="Times New Roman" w:hAnsi="Arial" w:cs="Arial"/>
          <w:color w:val="212529"/>
          <w:sz w:val="24"/>
          <w:szCs w:val="24"/>
          <w:lang w:eastAsia="es-GT"/>
        </w:rPr>
        <w:t xml:space="preserve"> </w:t>
      </w:r>
      <w:r w:rsidRPr="00F66189">
        <w:rPr>
          <w:rFonts w:ascii="Arial" w:hAnsi="Arial" w:cs="Arial"/>
          <w:sz w:val="24"/>
          <w:szCs w:val="24"/>
        </w:rPr>
        <w:t>Somos la institución rectora del régimen normativo aplicable al fomento, producción, distribución y comercialización de la energía, hidrocarburos, y la explotación de los recursos mineros en Guatemala, asegurando que estas actividades generen el máximo aporte posible al Desarrollo Sostenible del país</w:t>
      </w:r>
    </w:p>
    <w:p w14:paraId="3798C626" w14:textId="1E57174D" w:rsidR="00AA0EEF" w:rsidRPr="00F66189" w:rsidRDefault="00AA0EEF" w:rsidP="00F66189">
      <w:pPr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F2E2E"/>
          <w:spacing w:val="10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b/>
          <w:bCs/>
          <w:color w:val="2F2E2E"/>
          <w:spacing w:val="10"/>
          <w:sz w:val="24"/>
          <w:szCs w:val="24"/>
          <w:lang w:eastAsia="es-GT"/>
        </w:rPr>
        <w:t>FUNCION:</w:t>
      </w:r>
      <w:r w:rsidRPr="00F66189">
        <w:rPr>
          <w:rFonts w:ascii="Arial" w:eastAsia="Times New Roman" w:hAnsi="Arial" w:cs="Arial"/>
          <w:color w:val="2F2E2E"/>
          <w:spacing w:val="10"/>
          <w:sz w:val="24"/>
          <w:szCs w:val="24"/>
          <w:lang w:eastAsia="es-GT"/>
        </w:rPr>
        <w:t xml:space="preserve"> Velar por el estricto cumplimiento de la Ley de Minería y su Reglamento.</w:t>
      </w:r>
    </w:p>
    <w:p w14:paraId="7AF662DD" w14:textId="77777777" w:rsidR="00AA0EEF" w:rsidRPr="00F66189" w:rsidRDefault="00AA0EEF" w:rsidP="00F66189">
      <w:pPr>
        <w:pStyle w:val="Prrafodelista"/>
        <w:numPr>
          <w:ilvl w:val="0"/>
          <w:numId w:val="1"/>
        </w:numPr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F2E2E"/>
          <w:spacing w:val="10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color w:val="2F2E2E"/>
          <w:spacing w:val="10"/>
          <w:sz w:val="24"/>
          <w:szCs w:val="24"/>
          <w:lang w:eastAsia="es-GT"/>
        </w:rPr>
        <w:t>Promover la minería en general, asesorar en materia de su competencia a las dependencias públicas que lo requieran; así como velar por el desarrollo de la pequeña minería en zonas de extrema pobreza.</w:t>
      </w:r>
    </w:p>
    <w:p w14:paraId="593BA7ED" w14:textId="77777777" w:rsidR="00AA0EEF" w:rsidRPr="00F66189" w:rsidRDefault="00AA0EEF" w:rsidP="00F66189">
      <w:pPr>
        <w:pStyle w:val="Prrafodelista"/>
        <w:numPr>
          <w:ilvl w:val="0"/>
          <w:numId w:val="1"/>
        </w:numPr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F2E2E"/>
          <w:spacing w:val="10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color w:val="2F2E2E"/>
          <w:spacing w:val="10"/>
          <w:sz w:val="24"/>
          <w:szCs w:val="24"/>
          <w:lang w:eastAsia="es-GT"/>
        </w:rPr>
        <w:t>Efectuar estudios sobre posibles reservas de minerales existentes en áreas de interés minero, lugares del territorio nacional en donde no existan derechos mineros o solicitudes en trámite.</w:t>
      </w:r>
    </w:p>
    <w:p w14:paraId="60A621D0" w14:textId="77777777" w:rsidR="00AA0EEF" w:rsidRPr="00F66189" w:rsidRDefault="00AA0EEF" w:rsidP="00F66189">
      <w:pPr>
        <w:pStyle w:val="Prrafodelista"/>
        <w:numPr>
          <w:ilvl w:val="0"/>
          <w:numId w:val="1"/>
        </w:numPr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F2E2E"/>
          <w:spacing w:val="10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color w:val="2F2E2E"/>
          <w:spacing w:val="10"/>
          <w:sz w:val="24"/>
          <w:szCs w:val="24"/>
          <w:lang w:eastAsia="es-GT"/>
        </w:rPr>
        <w:t>Inspeccionar, vigilar, supervisar y fiscalizar las actividades, los actos y el cumplimiento de las obligaciones relacionadas con los derechos de reconocimiento, exploración y explotación minera.</w:t>
      </w:r>
    </w:p>
    <w:p w14:paraId="606C05EC" w14:textId="77777777" w:rsidR="00AA0EEF" w:rsidRPr="00F66189" w:rsidRDefault="00AA0EEF" w:rsidP="00F66189">
      <w:pPr>
        <w:pStyle w:val="Prrafodelista"/>
        <w:numPr>
          <w:ilvl w:val="0"/>
          <w:numId w:val="1"/>
        </w:numPr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F2E2E"/>
          <w:spacing w:val="10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color w:val="2F2E2E"/>
          <w:spacing w:val="10"/>
          <w:sz w:val="24"/>
          <w:szCs w:val="24"/>
          <w:lang w:eastAsia="es-GT"/>
        </w:rPr>
        <w:t>Recopilar y analizar los datos estadísticos referentes a la industria minera y preparar publicaciones que tiendan a difundir el conocimiento de los recursos minerales para el inversionista nacional o extranjero u otros interesados.</w:t>
      </w:r>
    </w:p>
    <w:p w14:paraId="2B2C1503" w14:textId="77777777" w:rsidR="00AA0EEF" w:rsidRPr="00F66189" w:rsidRDefault="00AA0EEF" w:rsidP="00F66189">
      <w:pPr>
        <w:pStyle w:val="Prrafodelista"/>
        <w:numPr>
          <w:ilvl w:val="0"/>
          <w:numId w:val="1"/>
        </w:numPr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F2E2E"/>
          <w:spacing w:val="10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color w:val="2F2E2E"/>
          <w:spacing w:val="10"/>
          <w:sz w:val="24"/>
          <w:szCs w:val="24"/>
          <w:lang w:eastAsia="es-GT"/>
        </w:rPr>
        <w:t>Estudiar y preparar las guías, circulares, disposiciones y resoluciones que regulen las diferentes actividades técnicas de las operaciones mineras.</w:t>
      </w:r>
    </w:p>
    <w:p w14:paraId="552EEB9B" w14:textId="77777777" w:rsidR="00AA0EEF" w:rsidRPr="00F66189" w:rsidRDefault="00AA0EEF" w:rsidP="00F66189">
      <w:pPr>
        <w:pStyle w:val="Prrafodelista"/>
        <w:numPr>
          <w:ilvl w:val="0"/>
          <w:numId w:val="1"/>
        </w:numPr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F2E2E"/>
          <w:spacing w:val="10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color w:val="2F2E2E"/>
          <w:spacing w:val="10"/>
          <w:sz w:val="24"/>
          <w:szCs w:val="24"/>
          <w:lang w:eastAsia="es-GT"/>
        </w:rPr>
        <w:t>Promover la participación de las comunidades en el desarrollo de proyectos mineros.</w:t>
      </w:r>
    </w:p>
    <w:p w14:paraId="136D81CA" w14:textId="70AC1DBA" w:rsidR="008D0875" w:rsidRPr="00F66189" w:rsidRDefault="008D0875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·      </w:t>
      </w:r>
      <w:proofErr w:type="gramStart"/>
      <w:r w:rsidRPr="00F66189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   ¿</w:t>
      </w:r>
      <w:proofErr w:type="gramEnd"/>
      <w:r w:rsidRPr="00F66189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Qué es y cuál es la función de la CNEE?</w:t>
      </w:r>
    </w:p>
    <w:p w14:paraId="15FD4CFA" w14:textId="25B1A4BE" w:rsidR="005F006D" w:rsidRPr="00F66189" w:rsidRDefault="005F006D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GT"/>
        </w:rPr>
        <w:t>CNEE:</w:t>
      </w:r>
    </w:p>
    <w:p w14:paraId="40E8F393" w14:textId="0D2299EC" w:rsidR="005F006D" w:rsidRPr="00F66189" w:rsidRDefault="005F006D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F6618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5BBAF1" wp14:editId="479CED36">
            <wp:extent cx="4943475" cy="1877569"/>
            <wp:effectExtent l="0" t="0" r="0" b="889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590" cy="188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75DB" w14:textId="672BC097" w:rsidR="00BE5250" w:rsidRPr="00F66189" w:rsidRDefault="00BE5250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</w:p>
    <w:p w14:paraId="23588141" w14:textId="2B09CAFE" w:rsidR="00BE5250" w:rsidRPr="00F66189" w:rsidRDefault="00BE5250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GT"/>
        </w:rPr>
        <w:t xml:space="preserve">FUNCION: </w:t>
      </w:r>
      <w:r w:rsidR="005F006D" w:rsidRPr="00F66189">
        <w:rPr>
          <w:rFonts w:ascii="Arial" w:hAnsi="Arial" w:cs="Arial"/>
          <w:sz w:val="24"/>
          <w:szCs w:val="24"/>
        </w:rPr>
        <w:t>La Comisión Nacional de Energía Eléctrica (CNEE), tiene dentro de sus funciones “proteger los derechos de los usuarios y prevenir prácticas abusivas o discriminatorias”</w:t>
      </w:r>
    </w:p>
    <w:p w14:paraId="6B18EB70" w14:textId="78E6809E" w:rsidR="008D0875" w:rsidRPr="00F66189" w:rsidRDefault="008D0875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·      </w:t>
      </w:r>
      <w:proofErr w:type="gramStart"/>
      <w:r w:rsidRPr="00F66189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   ¿</w:t>
      </w:r>
      <w:proofErr w:type="gramEnd"/>
      <w:r w:rsidRPr="00F66189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Qué es y cuál es la función del AMM?</w:t>
      </w:r>
    </w:p>
    <w:p w14:paraId="3DE125BC" w14:textId="672EF669" w:rsidR="005F006D" w:rsidRPr="00F66189" w:rsidRDefault="005F006D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GT"/>
        </w:rPr>
        <w:t>AMM:</w:t>
      </w:r>
    </w:p>
    <w:p w14:paraId="1A6A73F9" w14:textId="4C2CC64F" w:rsidR="005F006D" w:rsidRPr="00F66189" w:rsidRDefault="005F006D" w:rsidP="00F66189">
      <w:pPr>
        <w:jc w:val="both"/>
        <w:rPr>
          <w:rFonts w:ascii="Arial" w:hAnsi="Arial" w:cs="Arial"/>
          <w:sz w:val="24"/>
          <w:szCs w:val="24"/>
        </w:rPr>
      </w:pPr>
      <w:r w:rsidRPr="00F66189">
        <w:rPr>
          <w:rFonts w:ascii="Arial" w:hAnsi="Arial" w:cs="Arial"/>
          <w:sz w:val="24"/>
          <w:szCs w:val="24"/>
        </w:rPr>
        <w:t>El Administrador del Mercado Mayorista (AMM), es una organización privada sin fines de lucro establecida en 1996 por el gobierno de Guatemala para asegurar el suministro y la seguridad de la electricidad en el país.</w:t>
      </w:r>
    </w:p>
    <w:p w14:paraId="4C312AEA" w14:textId="77777777" w:rsidR="005F006D" w:rsidRPr="00F66189" w:rsidRDefault="005F006D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GT"/>
        </w:rPr>
        <w:t xml:space="preserve">FUNCION: </w:t>
      </w:r>
    </w:p>
    <w:p w14:paraId="6AE4EFC0" w14:textId="0991B85C" w:rsidR="005F006D" w:rsidRPr="00F66189" w:rsidRDefault="005F006D" w:rsidP="00F6618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66189">
        <w:rPr>
          <w:rFonts w:ascii="Arial" w:hAnsi="Arial" w:cs="Arial"/>
          <w:sz w:val="24"/>
          <w:szCs w:val="24"/>
        </w:rPr>
        <w:t>Establecer precios de mercado a corto plazo para las transferencias de potencia y energía entre generadores, comercializadores, distribuidores, importadores y exportadores; específicamente cuando no correspondan a contratos libremente pactados.</w:t>
      </w:r>
    </w:p>
    <w:p w14:paraId="419D1A11" w14:textId="0DAA78E2" w:rsidR="005F006D" w:rsidRPr="00F66189" w:rsidRDefault="005F006D" w:rsidP="00F6618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66189">
        <w:rPr>
          <w:rFonts w:ascii="Arial" w:hAnsi="Arial" w:cs="Arial"/>
          <w:sz w:val="24"/>
          <w:szCs w:val="24"/>
        </w:rPr>
        <w:t>Garantizar la seguridad y el abastecimiento de energía eléctrica en el país.</w:t>
      </w:r>
    </w:p>
    <w:p w14:paraId="78D5025B" w14:textId="71E3BBA7" w:rsidR="005F006D" w:rsidRPr="00F66189" w:rsidRDefault="008D0875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·      </w:t>
      </w:r>
      <w:proofErr w:type="gramStart"/>
      <w:r w:rsidRPr="00F66189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   ¿</w:t>
      </w:r>
      <w:proofErr w:type="gramEnd"/>
      <w:r w:rsidRPr="00F66189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Qué es y cuál es la función del INDE?  </w:t>
      </w:r>
    </w:p>
    <w:p w14:paraId="48A2E66F" w14:textId="3954A9CA" w:rsidR="005F006D" w:rsidRPr="00F66189" w:rsidRDefault="005F006D" w:rsidP="00F66189">
      <w:pPr>
        <w:jc w:val="both"/>
        <w:rPr>
          <w:rFonts w:ascii="Arial" w:hAnsi="Arial" w:cs="Arial"/>
          <w:sz w:val="24"/>
          <w:szCs w:val="24"/>
        </w:rPr>
      </w:pPr>
      <w:r w:rsidRPr="00F66189">
        <w:rPr>
          <w:rFonts w:ascii="Arial" w:hAnsi="Arial" w:cs="Arial"/>
          <w:b/>
          <w:bCs/>
          <w:sz w:val="24"/>
          <w:szCs w:val="24"/>
        </w:rPr>
        <w:t>INDE:</w:t>
      </w:r>
      <w:r w:rsidRPr="00F66189">
        <w:rPr>
          <w:rFonts w:ascii="Arial" w:hAnsi="Arial" w:cs="Arial"/>
          <w:sz w:val="24"/>
          <w:szCs w:val="24"/>
        </w:rPr>
        <w:t xml:space="preserve"> El Instituto Nacional de Electrificación –INDE- es una entidad estatal, autónoma y descentralizada, la cual goza de autonomía funcional, patrimonio propio, personalidad jurídica y plena capacidad para adquirir derechos y contraer obligaciones en materia de su competencia.</w:t>
      </w:r>
    </w:p>
    <w:p w14:paraId="1E538416" w14:textId="5BEABAC1" w:rsidR="005F006D" w:rsidRPr="00F66189" w:rsidRDefault="005F006D" w:rsidP="00F6618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66189">
        <w:rPr>
          <w:rFonts w:ascii="Arial" w:hAnsi="Arial" w:cs="Arial"/>
          <w:b/>
          <w:bCs/>
          <w:sz w:val="24"/>
          <w:szCs w:val="24"/>
        </w:rPr>
        <w:t xml:space="preserve">FUNCION: </w:t>
      </w:r>
    </w:p>
    <w:p w14:paraId="570B52DB" w14:textId="7AA96E2D" w:rsidR="005F006D" w:rsidRPr="00F66189" w:rsidRDefault="005F006D" w:rsidP="00F6618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66189">
        <w:rPr>
          <w:rFonts w:ascii="Arial" w:hAnsi="Arial" w:cs="Arial"/>
          <w:sz w:val="24"/>
          <w:szCs w:val="24"/>
        </w:rPr>
        <w:t>Realizar todas las acciones orientadas a dar solución pronta y eficaz de la escasez de energía eléctrica en el país y procurar que haya en todo momento energía disponible.</w:t>
      </w:r>
    </w:p>
    <w:p w14:paraId="7D9BADDB" w14:textId="50F4B84C" w:rsidR="005F006D" w:rsidRPr="00F66189" w:rsidRDefault="005F006D" w:rsidP="00F6618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66189">
        <w:rPr>
          <w:rFonts w:ascii="Arial" w:hAnsi="Arial" w:cs="Arial"/>
          <w:sz w:val="24"/>
          <w:szCs w:val="24"/>
        </w:rPr>
        <w:t>Propiciar la utilización racional, eficiente y sustentable de los recursos naturales, promoviendo el uso productivo.</w:t>
      </w:r>
    </w:p>
    <w:p w14:paraId="574F1081" w14:textId="22FE69EB" w:rsidR="005F006D" w:rsidRPr="00F66189" w:rsidRDefault="005F006D" w:rsidP="00F6618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66189">
        <w:rPr>
          <w:rFonts w:ascii="Arial" w:hAnsi="Arial" w:cs="Arial"/>
          <w:sz w:val="24"/>
          <w:szCs w:val="24"/>
        </w:rPr>
        <w:t>Colaborar en la conservación de los recursos hidráulicos y del ambiente del país que se relacionan con las áreas de sus plantas de generación eléctrica y sus proyectos.</w:t>
      </w:r>
    </w:p>
    <w:p w14:paraId="153219D1" w14:textId="719A3701" w:rsidR="005F006D" w:rsidRPr="00F66189" w:rsidRDefault="005F006D" w:rsidP="00F6618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66189">
        <w:rPr>
          <w:rFonts w:ascii="Arial" w:hAnsi="Arial" w:cs="Arial"/>
          <w:sz w:val="24"/>
          <w:szCs w:val="24"/>
        </w:rPr>
        <w:t>Cooperar en el aprovechamiento múltiple de los recursos hidráulicos</w:t>
      </w:r>
    </w:p>
    <w:p w14:paraId="443D24DD" w14:textId="330BEA88" w:rsidR="005F006D" w:rsidRPr="00F66189" w:rsidRDefault="005F006D" w:rsidP="00F6618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66189">
        <w:rPr>
          <w:rFonts w:ascii="Arial" w:hAnsi="Arial" w:cs="Arial"/>
          <w:sz w:val="24"/>
          <w:szCs w:val="24"/>
        </w:rPr>
        <w:t>Determinar técnica, económica y jurídicamente, el potencial hidroeléctrico, geotérmico y de otras fuentes renovables</w:t>
      </w:r>
    </w:p>
    <w:p w14:paraId="6B313B5F" w14:textId="4F815F87" w:rsidR="005F006D" w:rsidRPr="00F66189" w:rsidRDefault="005F006D" w:rsidP="00F6618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F66189">
        <w:rPr>
          <w:rFonts w:ascii="Arial" w:hAnsi="Arial" w:cs="Arial"/>
          <w:sz w:val="24"/>
          <w:szCs w:val="24"/>
        </w:rPr>
        <w:t>Promover el uso racional y el ahorro de electricidad y ofrecer lineamientos </w:t>
      </w:r>
    </w:p>
    <w:p w14:paraId="313A9376" w14:textId="4F03665A" w:rsidR="005F006D" w:rsidRPr="00F66189" w:rsidRDefault="005F006D" w:rsidP="00F6618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66189">
        <w:rPr>
          <w:rFonts w:ascii="Arial" w:hAnsi="Arial" w:cs="Arial"/>
          <w:sz w:val="24"/>
          <w:szCs w:val="24"/>
        </w:rPr>
        <w:t>Participar en los programas, obras y proyectos de transacciones regionales e internacionales</w:t>
      </w:r>
    </w:p>
    <w:p w14:paraId="2C930345" w14:textId="3FA6F8CD" w:rsidR="008D0875" w:rsidRPr="00F66189" w:rsidRDefault="008D0875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color w:val="212529"/>
          <w:sz w:val="24"/>
          <w:szCs w:val="24"/>
          <w:lang w:eastAsia="es-GT"/>
        </w:rPr>
        <w:lastRenderedPageBreak/>
        <w:t>·      </w:t>
      </w:r>
      <w:proofErr w:type="gramStart"/>
      <w:r w:rsidRPr="00F66189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   ¿</w:t>
      </w:r>
      <w:proofErr w:type="gramEnd"/>
      <w:r w:rsidRPr="00F66189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Quiénes son los participantes y sus requisitos?</w:t>
      </w:r>
    </w:p>
    <w:tbl>
      <w:tblPr>
        <w:tblW w:w="0" w:type="auto"/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8"/>
      </w:tblGrid>
      <w:tr w:rsidR="00716D5F" w:rsidRPr="00716D5F" w14:paraId="6AA433BB" w14:textId="77777777" w:rsidTr="00716D5F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9F9F9"/>
            <w:tcMar>
              <w:top w:w="151" w:type="dxa"/>
              <w:left w:w="151" w:type="dxa"/>
              <w:bottom w:w="151" w:type="dxa"/>
              <w:right w:w="151" w:type="dxa"/>
            </w:tcMar>
            <w:vAlign w:val="center"/>
            <w:hideMark/>
          </w:tcPr>
          <w:p w14:paraId="0D6DF4AA" w14:textId="77777777" w:rsidR="00716D5F" w:rsidRPr="00716D5F" w:rsidRDefault="00716D5F" w:rsidP="00716D5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</w:pPr>
            <w:r w:rsidRPr="00716D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  <w:t>Lic. Alberto Pimentel Mata (MEM)</w:t>
            </w:r>
          </w:p>
          <w:p w14:paraId="4E4FE8D6" w14:textId="77777777" w:rsidR="00716D5F" w:rsidRPr="00716D5F" w:rsidRDefault="00716D5F" w:rsidP="00716D5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</w:pPr>
            <w:r w:rsidRPr="00716D5F">
              <w:rPr>
                <w:rFonts w:ascii="Century Gothic" w:eastAsia="Times New Roman" w:hAnsi="Century Gothic" w:cs="Helvetica"/>
                <w:b/>
                <w:bCs/>
                <w:color w:val="333333"/>
                <w:sz w:val="21"/>
                <w:szCs w:val="21"/>
                <w:lang w:eastAsia="es-GT"/>
              </w:rPr>
              <w:t>Presidente</w:t>
            </w:r>
          </w:p>
        </w:tc>
      </w:tr>
      <w:tr w:rsidR="00716D5F" w:rsidRPr="00716D5F" w14:paraId="3A1645EB" w14:textId="77777777" w:rsidTr="00716D5F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9F9F9"/>
            <w:tcMar>
              <w:top w:w="151" w:type="dxa"/>
              <w:left w:w="151" w:type="dxa"/>
              <w:bottom w:w="151" w:type="dxa"/>
              <w:right w:w="151" w:type="dxa"/>
            </w:tcMar>
            <w:vAlign w:val="center"/>
            <w:hideMark/>
          </w:tcPr>
          <w:p w14:paraId="38616C8B" w14:textId="77777777" w:rsidR="00716D5F" w:rsidRPr="00716D5F" w:rsidRDefault="00716D5F" w:rsidP="00716D5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</w:pPr>
            <w:r w:rsidRPr="00716D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  <w:t xml:space="preserve">Ing. Roberto Antonio </w:t>
            </w:r>
            <w:proofErr w:type="spellStart"/>
            <w:r w:rsidRPr="00716D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  <w:t>Malouf</w:t>
            </w:r>
            <w:proofErr w:type="spellEnd"/>
            <w:r w:rsidRPr="00716D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  <w:t xml:space="preserve"> (MINECO)</w:t>
            </w:r>
          </w:p>
          <w:p w14:paraId="0C8DE1A6" w14:textId="77777777" w:rsidR="00716D5F" w:rsidRPr="00716D5F" w:rsidRDefault="00716D5F" w:rsidP="00716D5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</w:pPr>
            <w:r w:rsidRPr="00716D5F">
              <w:rPr>
                <w:rFonts w:ascii="Century Gothic" w:eastAsia="Times New Roman" w:hAnsi="Century Gothic" w:cs="Helvetica"/>
                <w:b/>
                <w:bCs/>
                <w:color w:val="333333"/>
                <w:sz w:val="21"/>
                <w:szCs w:val="21"/>
                <w:lang w:eastAsia="es-GT"/>
              </w:rPr>
              <w:t>Vicepresidente</w:t>
            </w:r>
          </w:p>
        </w:tc>
      </w:tr>
      <w:tr w:rsidR="00716D5F" w:rsidRPr="00716D5F" w14:paraId="7E57A21A" w14:textId="77777777" w:rsidTr="00716D5F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9F9F9"/>
            <w:tcMar>
              <w:top w:w="151" w:type="dxa"/>
              <w:left w:w="151" w:type="dxa"/>
              <w:bottom w:w="151" w:type="dxa"/>
              <w:right w:w="151" w:type="dxa"/>
            </w:tcMar>
            <w:vAlign w:val="center"/>
            <w:hideMark/>
          </w:tcPr>
          <w:p w14:paraId="03850D16" w14:textId="77777777" w:rsidR="00716D5F" w:rsidRPr="00716D5F" w:rsidRDefault="00716D5F" w:rsidP="00716D5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</w:pPr>
            <w:r w:rsidRPr="00716D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  <w:t>Lic. Manuel Eduardo Arita Sagastume (Suplente)</w:t>
            </w:r>
          </w:p>
          <w:p w14:paraId="2253A7C3" w14:textId="77777777" w:rsidR="00716D5F" w:rsidRPr="00716D5F" w:rsidRDefault="00716D5F" w:rsidP="00716D5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</w:pPr>
            <w:r w:rsidRPr="00716D5F">
              <w:rPr>
                <w:rFonts w:ascii="Century Gothic" w:eastAsia="Times New Roman" w:hAnsi="Century Gothic" w:cs="Helvetica"/>
                <w:b/>
                <w:bCs/>
                <w:color w:val="333333"/>
                <w:sz w:val="21"/>
                <w:szCs w:val="21"/>
                <w:lang w:eastAsia="es-GT"/>
              </w:rPr>
              <w:t>Ministerio de Energía y Minas</w:t>
            </w:r>
          </w:p>
        </w:tc>
      </w:tr>
      <w:tr w:rsidR="00716D5F" w:rsidRPr="00716D5F" w14:paraId="455E7EBF" w14:textId="77777777" w:rsidTr="00716D5F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9F9F9"/>
            <w:tcMar>
              <w:top w:w="151" w:type="dxa"/>
              <w:left w:w="151" w:type="dxa"/>
              <w:bottom w:w="151" w:type="dxa"/>
              <w:right w:w="151" w:type="dxa"/>
            </w:tcMar>
            <w:vAlign w:val="center"/>
            <w:hideMark/>
          </w:tcPr>
          <w:p w14:paraId="02F2BD7B" w14:textId="77777777" w:rsidR="00716D5F" w:rsidRPr="00716D5F" w:rsidRDefault="00716D5F" w:rsidP="00716D5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</w:pPr>
            <w:r w:rsidRPr="00716D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  <w:t xml:space="preserve">Ing. Melvin Ernesto </w:t>
            </w:r>
            <w:proofErr w:type="spellStart"/>
            <w:r w:rsidRPr="00716D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  <w:t>Quijivix</w:t>
            </w:r>
            <w:proofErr w:type="spellEnd"/>
            <w:r w:rsidRPr="00716D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  <w:t xml:space="preserve"> Vega (Titular)</w:t>
            </w:r>
            <w:r w:rsidRPr="00716D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  <w:br/>
            </w:r>
          </w:p>
          <w:p w14:paraId="355BB8E1" w14:textId="77777777" w:rsidR="00716D5F" w:rsidRPr="00716D5F" w:rsidRDefault="00716D5F" w:rsidP="00716D5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</w:pPr>
            <w:r w:rsidRPr="00716D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  <w:t>Arq. Hilda Betzabé Arrechea Urbina (Suplente)</w:t>
            </w:r>
          </w:p>
          <w:p w14:paraId="1AD05520" w14:textId="77777777" w:rsidR="00716D5F" w:rsidRPr="00716D5F" w:rsidRDefault="00716D5F" w:rsidP="00716D5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</w:pPr>
            <w:r w:rsidRPr="00716D5F">
              <w:rPr>
                <w:rFonts w:ascii="Century Gothic" w:eastAsia="Times New Roman" w:hAnsi="Century Gothic" w:cs="Helvetica"/>
                <w:b/>
                <w:bCs/>
                <w:color w:val="333333"/>
                <w:sz w:val="21"/>
                <w:szCs w:val="21"/>
                <w:lang w:eastAsia="es-GT"/>
              </w:rPr>
              <w:t>Secretaría de Planificación y Programación de la Presidencia -SEGEPLAN-</w:t>
            </w:r>
          </w:p>
        </w:tc>
      </w:tr>
      <w:tr w:rsidR="00716D5F" w:rsidRPr="00716D5F" w14:paraId="1E738F0B" w14:textId="77777777" w:rsidTr="00716D5F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9F9F9"/>
            <w:tcMar>
              <w:top w:w="151" w:type="dxa"/>
              <w:left w:w="151" w:type="dxa"/>
              <w:bottom w:w="151" w:type="dxa"/>
              <w:right w:w="151" w:type="dxa"/>
            </w:tcMar>
            <w:vAlign w:val="center"/>
            <w:hideMark/>
          </w:tcPr>
          <w:p w14:paraId="55314239" w14:textId="77777777" w:rsidR="00716D5F" w:rsidRPr="00716D5F" w:rsidRDefault="00716D5F" w:rsidP="00716D5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</w:pPr>
            <w:r w:rsidRPr="00716D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  <w:t>Lic. Lisardo Bolaños (Suplente)</w:t>
            </w:r>
            <w:r w:rsidRPr="00716D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  <w:br/>
            </w:r>
          </w:p>
          <w:p w14:paraId="5DC66091" w14:textId="77777777" w:rsidR="00716D5F" w:rsidRPr="00716D5F" w:rsidRDefault="00716D5F" w:rsidP="00716D5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</w:pPr>
            <w:r w:rsidRPr="00716D5F">
              <w:rPr>
                <w:rFonts w:ascii="Century Gothic" w:eastAsia="Times New Roman" w:hAnsi="Century Gothic" w:cs="Helvetica"/>
                <w:b/>
                <w:bCs/>
                <w:color w:val="333333"/>
                <w:sz w:val="21"/>
                <w:szCs w:val="21"/>
                <w:lang w:eastAsia="es-GT"/>
              </w:rPr>
              <w:t>Ministerio de Economía</w:t>
            </w:r>
          </w:p>
        </w:tc>
      </w:tr>
      <w:tr w:rsidR="00716D5F" w:rsidRPr="00716D5F" w14:paraId="69C889F5" w14:textId="77777777" w:rsidTr="00716D5F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9F9F9"/>
            <w:tcMar>
              <w:top w:w="151" w:type="dxa"/>
              <w:left w:w="151" w:type="dxa"/>
              <w:bottom w:w="151" w:type="dxa"/>
              <w:right w:w="151" w:type="dxa"/>
            </w:tcMar>
            <w:vAlign w:val="center"/>
            <w:hideMark/>
          </w:tcPr>
          <w:p w14:paraId="52434FD8" w14:textId="77777777" w:rsidR="00716D5F" w:rsidRPr="00716D5F" w:rsidRDefault="00716D5F" w:rsidP="00716D5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</w:pPr>
            <w:r w:rsidRPr="00716D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  <w:t>Ing. Sergio Iván Sosa Ramírez (Titular)</w:t>
            </w:r>
            <w:r w:rsidRPr="00716D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  <w:br/>
              <w:t xml:space="preserve">Licda. Jacqueline </w:t>
            </w:r>
            <w:proofErr w:type="spellStart"/>
            <w:r w:rsidRPr="00716D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  <w:t>Hazbun</w:t>
            </w:r>
            <w:proofErr w:type="spellEnd"/>
            <w:r w:rsidRPr="00716D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  <w:t xml:space="preserve"> Arias (Suplente)</w:t>
            </w:r>
          </w:p>
          <w:p w14:paraId="7B5AE9CE" w14:textId="77777777" w:rsidR="00716D5F" w:rsidRPr="00716D5F" w:rsidRDefault="00716D5F" w:rsidP="00716D5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</w:pPr>
            <w:r w:rsidRPr="00716D5F">
              <w:rPr>
                <w:rFonts w:ascii="Century Gothic" w:eastAsia="Times New Roman" w:hAnsi="Century Gothic" w:cs="Helvetica"/>
                <w:b/>
                <w:bCs/>
                <w:color w:val="333333"/>
                <w:sz w:val="21"/>
                <w:szCs w:val="21"/>
                <w:lang w:eastAsia="es-GT"/>
              </w:rPr>
              <w:t> Asociaciones Empresariales</w:t>
            </w:r>
          </w:p>
        </w:tc>
      </w:tr>
      <w:tr w:rsidR="00716D5F" w:rsidRPr="00716D5F" w14:paraId="32A3376B" w14:textId="77777777" w:rsidTr="00716D5F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9F9F9"/>
            <w:tcMar>
              <w:top w:w="151" w:type="dxa"/>
              <w:left w:w="151" w:type="dxa"/>
              <w:bottom w:w="151" w:type="dxa"/>
              <w:right w:w="151" w:type="dxa"/>
            </w:tcMar>
            <w:vAlign w:val="center"/>
            <w:hideMark/>
          </w:tcPr>
          <w:p w14:paraId="4D615B3D" w14:textId="77777777" w:rsidR="00716D5F" w:rsidRPr="00716D5F" w:rsidRDefault="00716D5F" w:rsidP="00716D5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</w:pPr>
            <w:r w:rsidRPr="00716D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  <w:t>Lic. Rolando Miguel Ovalle Barrios (Titular)</w:t>
            </w:r>
          </w:p>
          <w:p w14:paraId="2AF607D5" w14:textId="77777777" w:rsidR="00716D5F" w:rsidRPr="00716D5F" w:rsidRDefault="00716D5F" w:rsidP="00716D5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</w:pPr>
            <w:r w:rsidRPr="00716D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  <w:t>Ing. Esteban Adolfo Castillo y Castillo (Suplente)</w:t>
            </w:r>
          </w:p>
          <w:p w14:paraId="3B973399" w14:textId="77777777" w:rsidR="00716D5F" w:rsidRPr="00716D5F" w:rsidRDefault="00716D5F" w:rsidP="00716D5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</w:pPr>
            <w:r w:rsidRPr="00716D5F">
              <w:rPr>
                <w:rFonts w:ascii="Century Gothic" w:eastAsia="Times New Roman" w:hAnsi="Century Gothic" w:cs="Helvetica"/>
                <w:b/>
                <w:bCs/>
                <w:color w:val="333333"/>
                <w:sz w:val="21"/>
                <w:szCs w:val="21"/>
                <w:lang w:eastAsia="es-GT"/>
              </w:rPr>
              <w:t>Asociación Nacional de Municipalidades</w:t>
            </w:r>
          </w:p>
        </w:tc>
      </w:tr>
      <w:tr w:rsidR="00716D5F" w:rsidRPr="00716D5F" w14:paraId="2721F576" w14:textId="77777777" w:rsidTr="00716D5F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9F9F9"/>
            <w:tcMar>
              <w:top w:w="151" w:type="dxa"/>
              <w:left w:w="151" w:type="dxa"/>
              <w:bottom w:w="151" w:type="dxa"/>
              <w:right w:w="151" w:type="dxa"/>
            </w:tcMar>
            <w:vAlign w:val="center"/>
            <w:hideMark/>
          </w:tcPr>
          <w:p w14:paraId="3A91DE9C" w14:textId="77777777" w:rsidR="00716D5F" w:rsidRPr="00716D5F" w:rsidRDefault="00716D5F" w:rsidP="00716D5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</w:pPr>
            <w:r w:rsidRPr="00716D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  <w:t xml:space="preserve">Sr. Samuel </w:t>
            </w:r>
            <w:proofErr w:type="spellStart"/>
            <w:r w:rsidRPr="00716D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  <w:t>Nenroth</w:t>
            </w:r>
            <w:proofErr w:type="spellEnd"/>
            <w:r w:rsidRPr="00716D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  <w:t xml:space="preserve"> </w:t>
            </w:r>
            <w:proofErr w:type="spellStart"/>
            <w:r w:rsidRPr="00716D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  <w:t>Hernandez</w:t>
            </w:r>
            <w:proofErr w:type="spellEnd"/>
            <w:r w:rsidRPr="00716D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  <w:t xml:space="preserve"> Orantes (Titular)</w:t>
            </w:r>
            <w:r w:rsidRPr="00716D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  <w:br/>
              <w:t xml:space="preserve">Sr. </w:t>
            </w:r>
            <w:proofErr w:type="spellStart"/>
            <w:r w:rsidRPr="00716D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  <w:t>Robertino</w:t>
            </w:r>
            <w:proofErr w:type="spellEnd"/>
            <w:r w:rsidRPr="00716D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  <w:t xml:space="preserve"> Montenegro Santos (Suplente)</w:t>
            </w:r>
          </w:p>
          <w:p w14:paraId="0915DF3E" w14:textId="77777777" w:rsidR="00716D5F" w:rsidRPr="00716D5F" w:rsidRDefault="00716D5F" w:rsidP="00716D5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</w:pPr>
            <w:r w:rsidRPr="00716D5F">
              <w:rPr>
                <w:rFonts w:ascii="Century Gothic" w:eastAsia="Times New Roman" w:hAnsi="Century Gothic" w:cs="Helvetica"/>
                <w:b/>
                <w:bCs/>
                <w:color w:val="333333"/>
                <w:sz w:val="21"/>
                <w:szCs w:val="21"/>
                <w:lang w:eastAsia="es-GT"/>
              </w:rPr>
              <w:t>Asociaciones y/o Sindicatos de Trabajadores del País</w:t>
            </w:r>
          </w:p>
        </w:tc>
      </w:tr>
      <w:tr w:rsidR="00716D5F" w:rsidRPr="00716D5F" w14:paraId="01B70161" w14:textId="77777777" w:rsidTr="00716D5F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shd w:val="clear" w:color="auto" w:fill="F9F9F9"/>
            <w:tcMar>
              <w:top w:w="151" w:type="dxa"/>
              <w:left w:w="151" w:type="dxa"/>
              <w:bottom w:w="151" w:type="dxa"/>
              <w:right w:w="151" w:type="dxa"/>
            </w:tcMar>
            <w:vAlign w:val="center"/>
            <w:hideMark/>
          </w:tcPr>
          <w:p w14:paraId="5CD28296" w14:textId="77777777" w:rsidR="00716D5F" w:rsidRPr="00716D5F" w:rsidRDefault="00716D5F" w:rsidP="00716D5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</w:pPr>
            <w:r w:rsidRPr="00716D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  <w:t>Ing. Otto Leonel García Mansilla (</w:t>
            </w:r>
            <w:proofErr w:type="gramStart"/>
            <w:r w:rsidRPr="00716D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  <w:t>Secretario</w:t>
            </w:r>
            <w:proofErr w:type="gramEnd"/>
            <w:r w:rsidRPr="00716D5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  <w:t xml:space="preserve"> de Consejo Directivo)</w:t>
            </w:r>
          </w:p>
          <w:p w14:paraId="12E8A2B7" w14:textId="77777777" w:rsidR="00716D5F" w:rsidRPr="00716D5F" w:rsidRDefault="00716D5F" w:rsidP="00716D5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GT"/>
              </w:rPr>
            </w:pPr>
            <w:r w:rsidRPr="00716D5F">
              <w:rPr>
                <w:rFonts w:ascii="Century Gothic" w:eastAsia="Times New Roman" w:hAnsi="Century Gothic" w:cs="Helvetica"/>
                <w:b/>
                <w:bCs/>
                <w:color w:val="333333"/>
                <w:sz w:val="21"/>
                <w:szCs w:val="21"/>
                <w:lang w:eastAsia="es-GT"/>
              </w:rPr>
              <w:t>INDE</w:t>
            </w:r>
          </w:p>
        </w:tc>
      </w:tr>
    </w:tbl>
    <w:p w14:paraId="03A39449" w14:textId="77777777" w:rsidR="004C3D7F" w:rsidRPr="00F66189" w:rsidRDefault="004C3D7F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</w:p>
    <w:p w14:paraId="1EF1430A" w14:textId="77777777" w:rsidR="008D0875" w:rsidRPr="00F66189" w:rsidRDefault="008D0875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 </w:t>
      </w:r>
    </w:p>
    <w:p w14:paraId="28A5895C" w14:textId="6D556089" w:rsidR="008D0875" w:rsidRPr="00F66189" w:rsidRDefault="008D0875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GT"/>
        </w:rPr>
        <w:t xml:space="preserve">DISTRIBUIDORES DE ENERGIA </w:t>
      </w:r>
    </w:p>
    <w:p w14:paraId="71936722" w14:textId="1BB9F38D" w:rsidR="008D0875" w:rsidRPr="00F66189" w:rsidRDefault="008D0875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·         Menciones las 3 grandes distribuidoras de energía eléctrica en Guatemala.</w:t>
      </w:r>
    </w:p>
    <w:p w14:paraId="47C13387" w14:textId="6414CB0A" w:rsidR="004C3D7F" w:rsidRPr="00F66189" w:rsidRDefault="004C3D7F" w:rsidP="00F66189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Style w:val="Textoennegrita"/>
          <w:rFonts w:ascii="Arial" w:hAnsi="Arial" w:cs="Arial"/>
          <w:color w:val="111111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F66189">
        <w:rPr>
          <w:rStyle w:val="Textoennegrita"/>
          <w:rFonts w:ascii="Arial" w:hAnsi="Arial" w:cs="Arial"/>
          <w:color w:val="111111"/>
          <w:sz w:val="24"/>
          <w:szCs w:val="24"/>
          <w:bdr w:val="none" w:sz="0" w:space="0" w:color="auto" w:frame="1"/>
          <w:shd w:val="clear" w:color="auto" w:fill="FFFFFF"/>
        </w:rPr>
        <w:t>Eegsa</w:t>
      </w:r>
      <w:proofErr w:type="spellEnd"/>
    </w:p>
    <w:p w14:paraId="421BC088" w14:textId="41C1668D" w:rsidR="004C3D7F" w:rsidRPr="00F66189" w:rsidRDefault="004C3D7F" w:rsidP="00F66189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proofErr w:type="spellStart"/>
      <w:r w:rsidRPr="00F6618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Deorsa</w:t>
      </w:r>
      <w:proofErr w:type="spellEnd"/>
      <w:r w:rsidRPr="00F6618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</w:p>
    <w:p w14:paraId="028DACD4" w14:textId="0E319783" w:rsidR="004C3D7F" w:rsidRPr="00F66189" w:rsidRDefault="004C3D7F" w:rsidP="00F66189">
      <w:pPr>
        <w:pStyle w:val="Prrafodelista"/>
        <w:numPr>
          <w:ilvl w:val="0"/>
          <w:numId w:val="4"/>
        </w:numPr>
        <w:shd w:val="clear" w:color="auto" w:fill="FFFFFF"/>
        <w:spacing w:after="100" w:afterAutospacing="1" w:line="240" w:lineRule="auto"/>
        <w:jc w:val="both"/>
        <w:rPr>
          <w:rStyle w:val="Textoennegrita"/>
          <w:rFonts w:ascii="Arial" w:hAnsi="Arial" w:cs="Arial"/>
          <w:color w:val="111111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F66189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Deocsa</w:t>
      </w:r>
      <w:proofErr w:type="spellEnd"/>
    </w:p>
    <w:p w14:paraId="52452FFC" w14:textId="4ACDD15C" w:rsidR="004C3D7F" w:rsidRPr="00F66189" w:rsidRDefault="004C3D7F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</w:p>
    <w:p w14:paraId="3EE885F4" w14:textId="37735A74" w:rsidR="008D0875" w:rsidRPr="00F66189" w:rsidRDefault="008D0875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·         Menciones 3 empresas eléctricas municipales que presten el servicio de distribución en Guatemala.</w:t>
      </w:r>
    </w:p>
    <w:p w14:paraId="5F61F8B1" w14:textId="17C0EF41" w:rsidR="004C3D7F" w:rsidRPr="00F66189" w:rsidRDefault="004C3D7F" w:rsidP="00F66189">
      <w:pPr>
        <w:pStyle w:val="Prrafodelista"/>
        <w:numPr>
          <w:ilvl w:val="0"/>
          <w:numId w:val="5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GT"/>
        </w:rPr>
        <w:t>ECOHSA</w:t>
      </w:r>
    </w:p>
    <w:p w14:paraId="5FA761E9" w14:textId="45C769D9" w:rsidR="004C3D7F" w:rsidRPr="00F66189" w:rsidRDefault="004C3D7F" w:rsidP="00F66189">
      <w:pPr>
        <w:pStyle w:val="Prrafodelista"/>
        <w:numPr>
          <w:ilvl w:val="0"/>
          <w:numId w:val="5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GT"/>
        </w:rPr>
        <w:t>AES EL Salvador</w:t>
      </w:r>
    </w:p>
    <w:p w14:paraId="0E34779C" w14:textId="6964D26D" w:rsidR="004C3D7F" w:rsidRPr="00F66189" w:rsidRDefault="004C3D7F" w:rsidP="00F66189">
      <w:pPr>
        <w:pStyle w:val="Prrafodelista"/>
        <w:numPr>
          <w:ilvl w:val="0"/>
          <w:numId w:val="5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GT"/>
        </w:rPr>
        <w:t>Empresa de Ingenieros Guatemaltecos (EIG)</w:t>
      </w:r>
    </w:p>
    <w:p w14:paraId="7967AC31" w14:textId="0B71F366" w:rsidR="008D0875" w:rsidRPr="00F66189" w:rsidRDefault="008D0875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</w:p>
    <w:p w14:paraId="1945C9BE" w14:textId="5538D438" w:rsidR="008D0875" w:rsidRPr="00F66189" w:rsidRDefault="008D0875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GT"/>
        </w:rPr>
        <w:t xml:space="preserve">TRANSMISIÓN DE ENERGIA  </w:t>
      </w:r>
    </w:p>
    <w:p w14:paraId="25592DE8" w14:textId="003242C9" w:rsidR="008D0875" w:rsidRPr="00F66189" w:rsidRDefault="008D0875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·         Menciones las 3 empresas que presten el servicio de transmisión de Energía en Guatemala.</w:t>
      </w:r>
    </w:p>
    <w:p w14:paraId="5FBAFFA4" w14:textId="59BF25D6" w:rsidR="005D4C46" w:rsidRPr="00F66189" w:rsidRDefault="00716D5F" w:rsidP="00F66189">
      <w:pPr>
        <w:shd w:val="clear" w:color="auto" w:fill="FFFFFF"/>
        <w:spacing w:after="144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  <w:hyperlink r:id="rId6" w:tgtFrame="_blank" w:history="1">
        <w:r w:rsidR="005D4C46" w:rsidRPr="00F66189">
          <w:rPr>
            <w:rFonts w:ascii="Arial" w:eastAsia="Times New Roman" w:hAnsi="Arial" w:cs="Arial"/>
            <w:b/>
            <w:bCs/>
            <w:sz w:val="24"/>
            <w:szCs w:val="24"/>
            <w:lang w:eastAsia="es-GT"/>
          </w:rPr>
          <w:t>ECOHSA</w:t>
        </w:r>
      </w:hyperlink>
    </w:p>
    <w:p w14:paraId="6DC27C72" w14:textId="77777777" w:rsidR="005D4C46" w:rsidRPr="00F66189" w:rsidRDefault="00716D5F" w:rsidP="00F66189">
      <w:pPr>
        <w:pStyle w:val="Ttulo4"/>
        <w:shd w:val="clear" w:color="auto" w:fill="FFFFFF"/>
        <w:spacing w:before="0" w:beforeAutospacing="0" w:after="144" w:afterAutospacing="0"/>
        <w:jc w:val="both"/>
        <w:rPr>
          <w:rFonts w:ascii="Arial" w:hAnsi="Arial" w:cs="Arial"/>
        </w:rPr>
      </w:pPr>
      <w:hyperlink r:id="rId7" w:tgtFrame="_blank" w:history="1">
        <w:r w:rsidR="005D4C46" w:rsidRPr="00F66189">
          <w:rPr>
            <w:rStyle w:val="Hipervnculo"/>
            <w:rFonts w:ascii="Arial" w:hAnsi="Arial" w:cs="Arial"/>
            <w:color w:val="auto"/>
            <w:u w:val="none"/>
          </w:rPr>
          <w:t>DISMME</w:t>
        </w:r>
      </w:hyperlink>
    </w:p>
    <w:p w14:paraId="2338D5B7" w14:textId="7778B3BF" w:rsidR="00753F7C" w:rsidRPr="00F66189" w:rsidRDefault="00716D5F" w:rsidP="00F66189">
      <w:pPr>
        <w:pStyle w:val="Ttulo4"/>
        <w:shd w:val="clear" w:color="auto" w:fill="FFFFFF"/>
        <w:spacing w:before="0" w:beforeAutospacing="0" w:after="144" w:afterAutospacing="0"/>
        <w:jc w:val="both"/>
        <w:rPr>
          <w:rFonts w:ascii="Arial" w:hAnsi="Arial" w:cs="Arial"/>
        </w:rPr>
      </w:pPr>
      <w:hyperlink r:id="rId8" w:tgtFrame="_blank" w:history="1">
        <w:r w:rsidR="005D4C46" w:rsidRPr="00F66189">
          <w:rPr>
            <w:rStyle w:val="Hipervnculo"/>
            <w:rFonts w:ascii="Arial" w:hAnsi="Arial" w:cs="Arial"/>
            <w:color w:val="auto"/>
            <w:u w:val="none"/>
          </w:rPr>
          <w:t xml:space="preserve">Grupo </w:t>
        </w:r>
        <w:proofErr w:type="spellStart"/>
        <w:r w:rsidR="005D4C46" w:rsidRPr="00F66189">
          <w:rPr>
            <w:rStyle w:val="Hipervnculo"/>
            <w:rFonts w:ascii="Arial" w:hAnsi="Arial" w:cs="Arial"/>
            <w:color w:val="auto"/>
            <w:u w:val="none"/>
          </w:rPr>
          <w:t>Laeisz</w:t>
        </w:r>
        <w:proofErr w:type="spellEnd"/>
      </w:hyperlink>
    </w:p>
    <w:p w14:paraId="43A702A7" w14:textId="46B87FF2" w:rsidR="00AA0EEF" w:rsidRPr="00F66189" w:rsidRDefault="008D0875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·         Que es el SNI (Sistema Nacional Interconectado) de energía eléctrica en Guatemala.</w:t>
      </w:r>
    </w:p>
    <w:p w14:paraId="066848F6" w14:textId="7DB0AAF6" w:rsidR="00463C46" w:rsidRPr="00F66189" w:rsidRDefault="00463C46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GT"/>
        </w:rPr>
      </w:pPr>
      <w:r w:rsidRPr="00F66189">
        <w:rPr>
          <w:rFonts w:ascii="Arial" w:hAnsi="Arial" w:cs="Arial"/>
          <w:b/>
          <w:bCs/>
          <w:sz w:val="24"/>
          <w:szCs w:val="24"/>
          <w:shd w:val="clear" w:color="auto" w:fill="FFFFFF"/>
        </w:rPr>
        <w:t>Sistema Nacional Interconectado, -SNI- Es el conjunto de instalaciones, centrales generadoras, líneas de transmisión, subestaciones eléctricas, redes de distribución, equipo eléctrico, centros de carga y en general toda la infraestructura.</w:t>
      </w:r>
    </w:p>
    <w:p w14:paraId="6DB4CB69" w14:textId="77777777" w:rsidR="00463C46" w:rsidRPr="00F66189" w:rsidRDefault="00463C46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</w:p>
    <w:p w14:paraId="1C8ADF29" w14:textId="77777777" w:rsidR="00716D5F" w:rsidRPr="00F66189" w:rsidRDefault="00716D5F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</w:p>
    <w:p w14:paraId="0C8E6C0D" w14:textId="19852A86" w:rsidR="008D0875" w:rsidRPr="00F66189" w:rsidRDefault="008D0875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GT"/>
        </w:rPr>
        <w:t xml:space="preserve">CASO, INVESTIGUE (CADA UNO) </w:t>
      </w:r>
    </w:p>
    <w:p w14:paraId="4ED3F17C" w14:textId="77777777" w:rsidR="008D0875" w:rsidRPr="00F66189" w:rsidRDefault="008D0875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color w:val="212529"/>
          <w:sz w:val="24"/>
          <w:szCs w:val="24"/>
          <w:lang w:eastAsia="es-GT"/>
        </w:rPr>
        <w:t xml:space="preserve">·         Si usted tuviera o tiene paneles solares en su casa con la finalidad de producir para su consumo “Usuario </w:t>
      </w:r>
      <w:proofErr w:type="spellStart"/>
      <w:r w:rsidRPr="00F66189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autoproductor</w:t>
      </w:r>
      <w:proofErr w:type="spellEnd"/>
      <w:r w:rsidRPr="00F66189">
        <w:rPr>
          <w:rFonts w:ascii="Arial" w:eastAsia="Times New Roman" w:hAnsi="Arial" w:cs="Arial"/>
          <w:color w:val="212529"/>
          <w:sz w:val="24"/>
          <w:szCs w:val="24"/>
          <w:lang w:eastAsia="es-GT"/>
        </w:rPr>
        <w:t xml:space="preserve"> con excedentes de energía”, explique:</w:t>
      </w:r>
    </w:p>
    <w:p w14:paraId="33E3F5D1" w14:textId="55163E36" w:rsidR="008D0875" w:rsidRPr="00F66189" w:rsidRDefault="008D0875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color w:val="212529"/>
          <w:sz w:val="24"/>
          <w:szCs w:val="24"/>
          <w:lang w:eastAsia="es-GT"/>
        </w:rPr>
        <w:t xml:space="preserve">¿En qué consiste esta figura como usuario? ¿Qué es un </w:t>
      </w:r>
      <w:proofErr w:type="spellStart"/>
      <w:r w:rsidRPr="00F66189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autoproductor</w:t>
      </w:r>
      <w:proofErr w:type="spellEnd"/>
      <w:r w:rsidRPr="00F66189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?</w:t>
      </w:r>
    </w:p>
    <w:p w14:paraId="462FF01E" w14:textId="77777777" w:rsidR="007916A1" w:rsidRPr="00F66189" w:rsidRDefault="007916A1" w:rsidP="00F66189">
      <w:pPr>
        <w:shd w:val="clear" w:color="auto" w:fill="FFFFFF"/>
        <w:spacing w:after="100" w:afterAutospacing="1" w:line="24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515D81F2" w14:textId="04DC55C6" w:rsidR="007916A1" w:rsidRPr="00F66189" w:rsidRDefault="007916A1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F6618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0EEAE6B" wp14:editId="021543F2">
            <wp:extent cx="3522578" cy="2390775"/>
            <wp:effectExtent l="0" t="0" r="1905" b="0"/>
            <wp:docPr id="2" name="Imagen 2" descr="Una captura de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 celular con letras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3718" cy="239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00FA" w14:textId="13B3B7E3" w:rsidR="007916A1" w:rsidRPr="00F66189" w:rsidRDefault="007916A1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color w:val="212529"/>
          <w:sz w:val="24"/>
          <w:szCs w:val="24"/>
          <w:lang w:eastAsia="es-GT"/>
        </w:rPr>
        <w:t xml:space="preserve">Que es </w:t>
      </w:r>
      <w:proofErr w:type="spellStart"/>
      <w:r w:rsidRPr="00F66189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autoproductor</w:t>
      </w:r>
      <w:proofErr w:type="spellEnd"/>
    </w:p>
    <w:p w14:paraId="6CB2C8F6" w14:textId="38C0EB39" w:rsidR="007916A1" w:rsidRPr="00F66189" w:rsidRDefault="007916A1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4"/>
          <w:szCs w:val="24"/>
          <w:lang w:eastAsia="es-GT"/>
        </w:rPr>
      </w:pPr>
      <w:r w:rsidRPr="00F66189">
        <w:rPr>
          <w:rFonts w:ascii="Arial" w:hAnsi="Arial" w:cs="Arial"/>
          <w:b/>
          <w:bCs/>
          <w:sz w:val="24"/>
          <w:szCs w:val="24"/>
        </w:rPr>
        <w:t>Es el usuario del sistema de distribución que inyecta energía eléctrica a dicho sistema, producida por generación con fuentes de energía renovable, ubicadas dentro de sus instalaciones de consumo</w:t>
      </w:r>
      <w:r w:rsidR="00F66189" w:rsidRPr="00F66189">
        <w:rPr>
          <w:rFonts w:ascii="Arial" w:hAnsi="Arial" w:cs="Arial"/>
          <w:b/>
          <w:bCs/>
          <w:sz w:val="24"/>
          <w:szCs w:val="24"/>
        </w:rPr>
        <w:t>.</w:t>
      </w:r>
    </w:p>
    <w:p w14:paraId="4B5A2F9D" w14:textId="70A243A6" w:rsidR="008D0875" w:rsidRPr="00F66189" w:rsidRDefault="008D0875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¿Si consumo más de lo que produce, que sucede?</w:t>
      </w:r>
    </w:p>
    <w:p w14:paraId="7135A16D" w14:textId="570EE956" w:rsidR="007916A1" w:rsidRPr="002F7117" w:rsidRDefault="00F66189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4"/>
          <w:szCs w:val="24"/>
          <w:lang w:eastAsia="es-GT"/>
        </w:rPr>
      </w:pPr>
      <w:r w:rsidRPr="00F66189">
        <w:rPr>
          <w:rFonts w:ascii="Arial" w:hAnsi="Arial" w:cs="Arial"/>
          <w:b/>
          <w:bCs/>
          <w:sz w:val="24"/>
          <w:szCs w:val="24"/>
        </w:rPr>
        <w:t>no recibe remuneración por dichos excedentes</w:t>
      </w:r>
      <w:r w:rsidR="002F7117" w:rsidRPr="002F7117">
        <w:rPr>
          <w:rFonts w:ascii="Arial" w:hAnsi="Arial" w:cs="Arial"/>
          <w:b/>
          <w:bCs/>
          <w:sz w:val="24"/>
          <w:szCs w:val="24"/>
        </w:rPr>
        <w:t xml:space="preserve">. Los Usuarios </w:t>
      </w:r>
      <w:proofErr w:type="spellStart"/>
      <w:r w:rsidR="002F7117" w:rsidRPr="002F7117">
        <w:rPr>
          <w:rFonts w:ascii="Arial" w:hAnsi="Arial" w:cs="Arial"/>
          <w:b/>
          <w:bCs/>
          <w:sz w:val="24"/>
          <w:szCs w:val="24"/>
        </w:rPr>
        <w:t>Autoproductores</w:t>
      </w:r>
      <w:proofErr w:type="spellEnd"/>
      <w:r w:rsidR="002F7117" w:rsidRPr="002F7117">
        <w:rPr>
          <w:rFonts w:ascii="Arial" w:hAnsi="Arial" w:cs="Arial"/>
          <w:b/>
          <w:bCs/>
          <w:sz w:val="24"/>
          <w:szCs w:val="24"/>
        </w:rPr>
        <w:t xml:space="preserve"> con Excedentes de Energía no recibirán ningún tipo de pago por la energía eléctrica inyectada al Sistema de Distribución. Para efectos de la facturación mensual del Usuario</w:t>
      </w:r>
      <w:r w:rsidR="002F7117">
        <w:rPr>
          <w:rFonts w:ascii="Arial" w:hAnsi="Arial" w:cs="Arial"/>
          <w:b/>
          <w:bCs/>
          <w:sz w:val="24"/>
          <w:szCs w:val="24"/>
        </w:rPr>
        <w:t>.</w:t>
      </w:r>
    </w:p>
    <w:p w14:paraId="5DE167F6" w14:textId="1396BA79" w:rsidR="008D0875" w:rsidRPr="002F7117" w:rsidRDefault="008D0875" w:rsidP="00F66189">
      <w:pPr>
        <w:shd w:val="clear" w:color="auto" w:fill="FFFFFF"/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2F7117">
        <w:rPr>
          <w:rFonts w:ascii="Arial" w:hAnsi="Arial" w:cs="Arial"/>
          <w:sz w:val="24"/>
          <w:szCs w:val="24"/>
        </w:rPr>
        <w:t>¿Si consumo menos de lo que produce, que sucede?</w:t>
      </w:r>
    </w:p>
    <w:p w14:paraId="187C6B7B" w14:textId="3EDFE727" w:rsidR="00177C14" w:rsidRPr="002F7117" w:rsidRDefault="002F7117" w:rsidP="00F66189">
      <w:pPr>
        <w:shd w:val="clear" w:color="auto" w:fill="FFFFFF"/>
        <w:spacing w:after="100" w:afterAutospacing="1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7117">
        <w:rPr>
          <w:rFonts w:ascii="Arial" w:hAnsi="Arial" w:cs="Arial"/>
          <w:b/>
          <w:bCs/>
          <w:sz w:val="24"/>
          <w:szCs w:val="24"/>
        </w:rPr>
        <w:t xml:space="preserve">Los Usuarios </w:t>
      </w:r>
      <w:proofErr w:type="spellStart"/>
      <w:r w:rsidRPr="002F7117">
        <w:rPr>
          <w:rFonts w:ascii="Arial" w:hAnsi="Arial" w:cs="Arial"/>
          <w:b/>
          <w:bCs/>
          <w:sz w:val="24"/>
          <w:szCs w:val="24"/>
        </w:rPr>
        <w:t>Autoproductores</w:t>
      </w:r>
      <w:proofErr w:type="spellEnd"/>
      <w:r w:rsidRPr="002F7117">
        <w:rPr>
          <w:rFonts w:ascii="Arial" w:hAnsi="Arial" w:cs="Arial"/>
          <w:b/>
          <w:bCs/>
          <w:sz w:val="24"/>
          <w:szCs w:val="24"/>
        </w:rPr>
        <w:t xml:space="preserve"> con Excedentes de Energía no recibirán ningún tipo de pago por la energía eléctrica inyectada al Sistema de Distribución. Para efectos de la facturación mensual del Usuario</w:t>
      </w:r>
    </w:p>
    <w:p w14:paraId="2B5E1E9C" w14:textId="5C07E806" w:rsidR="008D0875" w:rsidRDefault="008D0875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es-GT"/>
        </w:rPr>
      </w:pPr>
      <w:r w:rsidRPr="00F66189">
        <w:rPr>
          <w:rFonts w:ascii="Arial" w:eastAsia="Times New Roman" w:hAnsi="Arial" w:cs="Arial"/>
          <w:color w:val="212529"/>
          <w:sz w:val="24"/>
          <w:szCs w:val="24"/>
          <w:lang w:eastAsia="es-GT"/>
        </w:rPr>
        <w:t>¿Qué es el VAD?</w:t>
      </w:r>
    </w:p>
    <w:p w14:paraId="365D0912" w14:textId="572298E3" w:rsidR="00F66189" w:rsidRPr="00F66189" w:rsidRDefault="00F66189" w:rsidP="00F66189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color w:val="212529"/>
          <w:sz w:val="24"/>
          <w:szCs w:val="24"/>
          <w:lang w:eastAsia="es-GT"/>
        </w:rPr>
      </w:pPr>
      <w:r w:rsidRPr="00F66189">
        <w:rPr>
          <w:rFonts w:ascii="Arial" w:hAnsi="Arial" w:cs="Arial"/>
          <w:b/>
          <w:bCs/>
          <w:color w:val="202124"/>
          <w:shd w:val="clear" w:color="auto" w:fill="FFFFFF"/>
        </w:rPr>
        <w:t>El Valor Agregado de Distribución (VAD) corresponde al costo medio de capital y operación de una red de distribución de una empresa eficiente de referencia, operando en un área de densidad determinada.</w:t>
      </w:r>
    </w:p>
    <w:p w14:paraId="54C92322" w14:textId="65502596" w:rsidR="008D0875" w:rsidRDefault="008D0875" w:rsidP="00F66189">
      <w:pPr>
        <w:jc w:val="both"/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  <w:lang w:eastAsia="es-GT"/>
        </w:rPr>
      </w:pPr>
      <w:r w:rsidRPr="00F66189">
        <w:rPr>
          <w:rFonts w:ascii="Arial" w:eastAsia="Times New Roman" w:hAnsi="Arial" w:cs="Arial"/>
          <w:color w:val="212529"/>
          <w:sz w:val="24"/>
          <w:szCs w:val="24"/>
          <w:shd w:val="clear" w:color="auto" w:fill="FFFFFF"/>
          <w:lang w:eastAsia="es-GT"/>
        </w:rPr>
        <w:t>¿Qué es la Generación Distribuida Renovable "GDR"?</w:t>
      </w:r>
    </w:p>
    <w:p w14:paraId="4EBEE5A0" w14:textId="2CE36815" w:rsidR="00F66189" w:rsidRPr="00F66189" w:rsidRDefault="00F66189" w:rsidP="00F6618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66189">
        <w:rPr>
          <w:rFonts w:ascii="Arial" w:hAnsi="Arial" w:cs="Arial"/>
          <w:b/>
          <w:bCs/>
          <w:color w:val="202124"/>
          <w:shd w:val="clear" w:color="auto" w:fill="FFFFFF"/>
        </w:rPr>
        <w:t xml:space="preserve">Un GDR es la persona individual o jurídica, </w:t>
      </w:r>
      <w:proofErr w:type="spellStart"/>
      <w:r w:rsidRPr="00F66189">
        <w:rPr>
          <w:rFonts w:ascii="Arial" w:hAnsi="Arial" w:cs="Arial"/>
          <w:b/>
          <w:bCs/>
          <w:color w:val="202124"/>
          <w:shd w:val="clear" w:color="auto" w:fill="FFFFFF"/>
        </w:rPr>
        <w:t>títular</w:t>
      </w:r>
      <w:proofErr w:type="spellEnd"/>
      <w:r w:rsidRPr="00F66189">
        <w:rPr>
          <w:rFonts w:ascii="Arial" w:hAnsi="Arial" w:cs="Arial"/>
          <w:b/>
          <w:bCs/>
          <w:color w:val="202124"/>
          <w:shd w:val="clear" w:color="auto" w:fill="FFFFFF"/>
        </w:rPr>
        <w:t xml:space="preserve"> o poseedora de una central de generación de energía eléctrica, que utiliza recursos energéticos renovables (biomasa, eólica, geotérmica, hidráulica y solar), y participa en la actividad de generación de electricidad, que se conecta a instalaciones de distribución cuyo.</w:t>
      </w:r>
    </w:p>
    <w:sectPr w:rsidR="00F66189" w:rsidRPr="00F6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75BBB"/>
    <w:multiLevelType w:val="hybridMultilevel"/>
    <w:tmpl w:val="342626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B1829"/>
    <w:multiLevelType w:val="hybridMultilevel"/>
    <w:tmpl w:val="31BE9E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82820"/>
    <w:multiLevelType w:val="hybridMultilevel"/>
    <w:tmpl w:val="173A956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E2B72"/>
    <w:multiLevelType w:val="hybridMultilevel"/>
    <w:tmpl w:val="BBFE971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B014F"/>
    <w:multiLevelType w:val="hybridMultilevel"/>
    <w:tmpl w:val="C862DEE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75"/>
    <w:rsid w:val="00177C14"/>
    <w:rsid w:val="002F7117"/>
    <w:rsid w:val="00463C46"/>
    <w:rsid w:val="004C3D7F"/>
    <w:rsid w:val="005D4C46"/>
    <w:rsid w:val="005F006D"/>
    <w:rsid w:val="00716D5F"/>
    <w:rsid w:val="00753F7C"/>
    <w:rsid w:val="007916A1"/>
    <w:rsid w:val="008D0875"/>
    <w:rsid w:val="00AA0EEF"/>
    <w:rsid w:val="00BE5250"/>
    <w:rsid w:val="00C04D99"/>
    <w:rsid w:val="00C371E9"/>
    <w:rsid w:val="00F6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0D89"/>
  <w15:chartTrackingRefBased/>
  <w15:docId w15:val="{3CFBA6F8-6EFD-4858-9BBC-5C75AFE7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5D4C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0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Prrafodelista">
    <w:name w:val="List Paragraph"/>
    <w:basedOn w:val="Normal"/>
    <w:uiPriority w:val="34"/>
    <w:qFormat/>
    <w:rsid w:val="00BE5250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5F006D"/>
    <w:rPr>
      <w:i/>
      <w:iCs/>
    </w:rPr>
  </w:style>
  <w:style w:type="character" w:styleId="Textoennegrita">
    <w:name w:val="Strong"/>
    <w:basedOn w:val="Fuentedeprrafopredeter"/>
    <w:uiPriority w:val="22"/>
    <w:qFormat/>
    <w:rsid w:val="004C3D7F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5D4C46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styleId="Hipervnculo">
    <w:name w:val="Hyperlink"/>
    <w:basedOn w:val="Fuentedeprrafopredeter"/>
    <w:uiPriority w:val="99"/>
    <w:semiHidden/>
    <w:unhideWhenUsed/>
    <w:rsid w:val="005D4C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7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oloco.com.gt/empresas/grupo-laeisz_3782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oloco.com.gt/empresas/dismme_2328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oloco.com.gt/empresas/ecohsa_3850.asp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1094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Gladis Marlena  López Alvarez</dc:creator>
  <cp:keywords/>
  <dc:description/>
  <cp:lastModifiedBy>Gladis Marlena  López Alvarez</cp:lastModifiedBy>
  <cp:revision>4</cp:revision>
  <dcterms:created xsi:type="dcterms:W3CDTF">2021-08-13T22:04:00Z</dcterms:created>
  <dcterms:modified xsi:type="dcterms:W3CDTF">2021-08-15T18:46:00Z</dcterms:modified>
</cp:coreProperties>
</file>