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Desactivar las restricciones de clave foránea antes de eliminar tablas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DIAS DROP CONSTRAINT fk_usuario_habito;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TABLE USUARIO_HABITO DROP CONSTRAINT fk_usuario;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 TABLE USUARIO_HABITO DROP CONSTRAINT fk_habito;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TABLE USUARIO_HABITO DROP CONSTRAINT fk_frecuencia;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 TABLE COLABORADOR DROP CONSTRAINT fk_usuario;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ALTER TABLE COLABORADOR DROP CONSTRAINT fk_tipocolaborador;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 TABLE PERMISO_COLABORADOR DROP CONSTRAINT fk_tipocolaborador;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RECOMENDACIONES DROP CONSTRAINT fk_usuario;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INTERACCIONES DROP CONSTRAINT fk_usuario;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TABLE HISTORIAL_HABITOS DROP CONSTRAINT fk_usuario_habito;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NOTIFICACIONES DROP CONSTRAINT fk_usuario_habito;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NOTIFICACIONES DROP CONSTRAINT fk_frecuencia;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 TABLE HABITO DROP CONSTRAINT fk_habito_preder;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HABITO_PREDETERMINADO DROP CONSTRAINT fk_categoria;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USUARIO DROP CONSTRAINT fk_plan;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Eliminar tablas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DIAS;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TABLE USUARIO_HABITO;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HABITO;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TABLE HABITO_PREDETERMINADO;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USUARIO;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CATEGORIA;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PLANES;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FRECUENCIAS;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TABLE TIPO_COLABORADOR;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TABLE COLABORADOR;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TABLE PERMISO_COLABORADOR;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TABLE RECOMENDACIONES;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TABLE INTERACCIONES;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TABLE HISTORIAL_HABITOS;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NOTIFICACIONES;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TABLE TAREAS;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Eliminar secuencias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SEQUENCE seq_usuario;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SEQUENCE seq_categoria;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DROP SEQUENCE seq_frecuencia;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SEQUENCE seq_interaccion;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DROP SEQUENCE seq_recomendacion;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SEQUENCE seq_permiso;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SEQUENCE seq_plan;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SEQUENCE seq_habito_preder;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DROP SEQUENCE seq_habito;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DROP SEQUENCE seq_usuario_habito;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SEQUENCE seq_dia_habito;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DROP SEQUENCE seq_tarea;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SEQUENCE seq_tipocolaborador;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DROP SEQUENCE seq_colaborador;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SEQUENCE seq_permiso_colaborador;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SEQUENCE seq_historial_habitos;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SEQUENCE seq_notificaciones;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Fin del script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