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Trebuchet MS" w:hAnsi="Trebuchet MS" w:cs="Trebuchet MS" w:eastAsia="Trebuchet MS"/>
          <w:b/>
          <w:i w:val="0"/>
          <w:color w:val="000000"/>
          <w:sz w:val="30"/>
        </w:rPr>
        <w:t>MGT4003 - LEAN SIX SIGMA PRINCIPLES</w:t>
      </w:r>
    </w:p>
    <w:p>
      <w:pPr>
        <w:spacing w:before="200" w:after="120"/>
        <w:jc w:val="center"/>
      </w:pPr>
      <w:r>
        <w:rPr>
          <w:rFonts w:ascii="Trebuchet MS" w:hAnsi="Trebuchet MS" w:cs="Trebuchet MS" w:eastAsia="Trebuchet MS"/>
          <w:b/>
          <w:i w:val="0"/>
          <w:color w:val="000000"/>
          <w:sz w:val="46"/>
        </w:rPr>
        <w:t>Improving Member Retention in a Fitness Centre</w:t>
      </w:r>
    </w:p>
    <w:p>
      <w:pPr>
        <w:spacing w:before="0" w:after="480"/>
        <w:jc w:val="center"/>
      </w:pPr>
      <w:r>
        <w:rPr>
          <w:rFonts w:ascii="Trebuchet MS" w:hAnsi="Trebuchet MS" w:cs="Trebuchet MS" w:eastAsia="Trebuchet MS"/>
          <w:b w:val="0"/>
          <w:i/>
          <w:color w:val="000000"/>
          <w:sz w:val="26"/>
        </w:rPr>
        <w:t>Using DMAIC Methodology and Statistical Analysis</w:t>
      </w:r>
    </w:p>
    <w:p>
      <w:pPr>
        <w:spacing w:before="240" w:after="360"/>
        <w:jc w:val="center"/>
      </w:pPr>
      <w:r>
        <w:rPr>
          <w:rFonts w:ascii="Trebuchet MS" w:hAnsi="Trebuchet MS" w:cs="Trebuchet MS" w:eastAsia="Trebuchet MS"/>
          <w:b/>
          <w:i w:val="0"/>
          <w:color w:val="000000"/>
          <w:sz w:val="36"/>
        </w:rPr>
        <w:t>PROJECT REVIEW - 2</w:t>
      </w:r>
    </w:p>
    <w:p>
      <w:pPr>
        <w:spacing w:before="120" w:after="80"/>
        <w:jc w:val="center"/>
      </w:pPr>
      <w:r>
        <w:rPr>
          <w:rFonts w:ascii="Trebuchet MS" w:hAnsi="Trebuchet MS" w:cs="Trebuchet MS" w:eastAsia="Trebuchet MS"/>
          <w:b w:val="0"/>
          <w:i/>
          <w:color w:val="000000"/>
          <w:sz w:val="22"/>
        </w:rPr>
        <w:t>Submitted by</w:t>
      </w:r>
    </w:p>
    <w:p>
      <w:pPr>
        <w:spacing w:before="40" w:after="40"/>
        <w:jc w:val="center"/>
      </w:pPr>
      <w:r>
        <w:rPr>
          <w:rFonts w:ascii="Trebuchet MS" w:hAnsi="Trebuchet MS" w:cs="Trebuchet MS" w:eastAsia="Trebuchet MS"/>
          <w:b/>
          <w:i w:val="0"/>
          <w:color w:val="000000"/>
          <w:sz w:val="30"/>
        </w:rPr>
        <w:t>Gladwin Daniel P</w:t>
      </w:r>
    </w:p>
    <w:p>
      <w:pPr>
        <w:spacing w:before="40" w:after="40"/>
        <w:jc w:val="center"/>
      </w:pPr>
      <w:r>
        <w:rPr>
          <w:rFonts w:ascii="Trebuchet MS" w:hAnsi="Trebuchet MS" w:cs="Trebuchet MS" w:eastAsia="Trebuchet MS"/>
          <w:b/>
          <w:i w:val="0"/>
          <w:color w:val="000000"/>
          <w:sz w:val="30"/>
        </w:rPr>
        <w:t>Karthikeyan A</w:t>
      </w:r>
    </w:p>
    <w:p>
      <w:pPr>
        <w:spacing w:before="280" w:after="80"/>
        <w:jc w:val="center"/>
      </w:pPr>
      <w:r>
        <w:rPr>
          <w:rFonts w:ascii="Trebuchet MS" w:hAnsi="Trebuchet MS" w:cs="Trebuchet MS" w:eastAsia="Trebuchet MS"/>
          <w:b w:val="0"/>
          <w:i/>
          <w:color w:val="000000"/>
          <w:sz w:val="22"/>
        </w:rPr>
        <w:t>Under the Guidance of</w:t>
      </w:r>
    </w:p>
    <w:p>
      <w:pPr>
        <w:spacing w:before="40" w:after="80"/>
        <w:jc w:val="center"/>
      </w:pPr>
      <w:r>
        <w:rPr>
          <w:rFonts w:ascii="Trebuchet MS" w:hAnsi="Trebuchet MS" w:cs="Trebuchet MS" w:eastAsia="Trebuchet MS"/>
          <w:b/>
          <w:i w:val="0"/>
          <w:color w:val="000000"/>
          <w:sz w:val="30"/>
        </w:rPr>
        <w:t>Dr. Vadivel SM</w:t>
      </w:r>
    </w:p>
    <w:p>
      <w:pPr>
        <w:spacing w:before="0" w:after="280"/>
        <w:jc w:val="center"/>
      </w:pPr>
      <w:r>
        <w:rPr>
          <w:rFonts w:ascii="Trebuchet MS" w:hAnsi="Trebuchet MS" w:cs="Trebuchet MS" w:eastAsia="Trebuchet MS"/>
          <w:b w:val="0"/>
          <w:i w:val="0"/>
          <w:color w:val="000000"/>
          <w:sz w:val="22"/>
        </w:rPr>
        <w:t>Department of Management Studies</w:t>
      </w:r>
    </w:p>
    <w:p>
      <w:pPr>
        <w:spacing w:before="120" w:after="0"/>
        <w:jc w:val="center"/>
      </w:pPr>
      <w:r>
        <w:rPr>
          <w:rFonts w:ascii="Trebuchet MS" w:hAnsi="Trebuchet MS" w:cs="Trebuchet MS" w:eastAsia="Trebuchet MS"/>
          <w:b/>
          <w:i w:val="0"/>
          <w:color w:val="000000"/>
          <w:sz w:val="24"/>
        </w:rPr>
        <w:t>FALL SEMESTER 2026</w:t>
      </w:r>
    </w:p>
    <w:p>
      <w:r>
        <w:br w:type="page"/>
      </w:r>
    </w:p>
    <w:p>
      <w:pPr>
        <w:spacing w:before="120" w:after="160"/>
        <w:jc w:val="center"/>
      </w:pPr>
      <w:r>
        <w:rPr>
          <w:rFonts w:ascii="Trebuchet MS" w:hAnsi="Trebuchet MS" w:cs="Trebuchet MS" w:eastAsia="Trebuchet MS"/>
          <w:b/>
          <w:i w:val="0"/>
          <w:color w:val="000000"/>
          <w:sz w:val="36"/>
        </w:rPr>
        <w:t>TABLE OF CONTENTS</w:t>
      </w:r>
    </w:p>
    <w:p>
      <w:pPr>
        <w:tabs>
          <w:tab w:pos="8640" w:val="left"/>
        </w:tabs>
        <w:spacing w:before="0" w:after="40"/>
      </w:pPr>
      <w:r>
        <w:rPr>
          <w:rFonts w:ascii="Trebuchet MS" w:hAnsi="Trebuchet MS" w:cs="Trebuchet MS" w:eastAsia="Trebuchet MS"/>
          <w:b/>
          <w:i w:val="0"/>
          <w:color w:val="000000"/>
          <w:sz w:val="20"/>
        </w:rPr>
        <w:t>1. Introduction</w:t>
      </w:r>
      <w:r>
        <w:rPr>
          <w:rFonts w:ascii="Trebuchet MS" w:hAnsi="Trebuchet MS" w:cs="Trebuchet MS" w:eastAsia="Trebuchet MS"/>
          <w:b/>
          <w:i w:val="0"/>
          <w:color w:val="505050"/>
          <w:sz w:val="20"/>
        </w:rPr>
        <w:tab/>
        <w:t>3</w:t>
      </w:r>
    </w:p>
    <w:p>
      <w:pPr>
        <w:tabs>
          <w:tab w:pos="8640" w:val="left"/>
        </w:tabs>
        <w:spacing w:before="0" w:after="40"/>
      </w:pPr>
      <w:r>
        <w:rPr>
          <w:rFonts w:ascii="Trebuchet MS" w:hAnsi="Trebuchet MS" w:cs="Trebuchet MS" w:eastAsia="Trebuchet MS"/>
          <w:b/>
          <w:i w:val="0"/>
          <w:color w:val="000000"/>
          <w:sz w:val="20"/>
        </w:rPr>
        <w:t>2. DMAIC Methodology &amp; Analytical Hierarchy</w:t>
      </w:r>
      <w:r>
        <w:rPr>
          <w:rFonts w:ascii="Trebuchet MS" w:hAnsi="Trebuchet MS" w:cs="Trebuchet MS" w:eastAsia="Trebuchet MS"/>
          <w:b/>
          <w:i w:val="0"/>
          <w:color w:val="505050"/>
          <w:sz w:val="20"/>
        </w:rPr>
        <w:tab/>
        <w:t>3</w:t>
      </w:r>
    </w:p>
    <w:p>
      <w:pPr>
        <w:tabs>
          <w:tab w:pos="8640" w:val="left"/>
        </w:tabs>
        <w:spacing w:before="0" w:after="40"/>
      </w:pPr>
      <w:r>
        <w:rPr>
          <w:rFonts w:ascii="Calibri" w:hAnsi="Calibri" w:cs="Calibri" w:eastAsia="Calibri"/>
          <w:b w:val="0"/>
          <w:i w:val="0"/>
          <w:color w:val="000000"/>
          <w:sz w:val="20"/>
        </w:rPr>
        <w:t xml:space="preserve">   2.1 DMAIC Analytical Toolkit Hierarchy Diagram</w:t>
      </w:r>
      <w:r>
        <w:rPr>
          <w:rFonts w:ascii="Calibri" w:hAnsi="Calibri" w:cs="Calibri" w:eastAsia="Calibri"/>
          <w:b w:val="0"/>
          <w:i w:val="0"/>
          <w:color w:val="505050"/>
          <w:sz w:val="20"/>
        </w:rPr>
        <w:tab/>
        <w:t>3</w:t>
      </w:r>
    </w:p>
    <w:p>
      <w:pPr>
        <w:tabs>
          <w:tab w:pos="8640" w:val="left"/>
        </w:tabs>
        <w:spacing w:before="0" w:after="40"/>
      </w:pPr>
      <w:r>
        <w:rPr>
          <w:rFonts w:ascii="Calibri" w:hAnsi="Calibri" w:cs="Calibri" w:eastAsia="Calibri"/>
          <w:b w:val="0"/>
          <w:i w:val="0"/>
          <w:color w:val="000000"/>
          <w:sz w:val="20"/>
        </w:rPr>
        <w:t xml:space="preserve">   2.2 DMAIC Analytical Hierarchy Matrix</w:t>
      </w:r>
      <w:r>
        <w:rPr>
          <w:rFonts w:ascii="Calibri" w:hAnsi="Calibri" w:cs="Calibri" w:eastAsia="Calibri"/>
          <w:b w:val="0"/>
          <w:i w:val="0"/>
          <w:color w:val="505050"/>
          <w:sz w:val="20"/>
        </w:rPr>
        <w:tab/>
        <w:t>4</w:t>
      </w:r>
    </w:p>
    <w:p>
      <w:pPr>
        <w:tabs>
          <w:tab w:pos="8640" w:val="left"/>
        </w:tabs>
        <w:spacing w:before="0" w:after="40"/>
      </w:pPr>
      <w:r>
        <w:rPr>
          <w:rFonts w:ascii="Calibri" w:hAnsi="Calibri" w:cs="Calibri" w:eastAsia="Calibri"/>
          <w:b w:val="0"/>
          <w:i w:val="0"/>
          <w:color w:val="000000"/>
          <w:sz w:val="20"/>
        </w:rPr>
        <w:t xml:space="preserve">   2.3 Phase-by-Phase Methodological Breakdown</w:t>
      </w:r>
      <w:r>
        <w:rPr>
          <w:rFonts w:ascii="Calibri" w:hAnsi="Calibri" w:cs="Calibri" w:eastAsia="Calibri"/>
          <w:b w:val="0"/>
          <w:i w:val="0"/>
          <w:color w:val="505050"/>
          <w:sz w:val="20"/>
        </w:rPr>
        <w:tab/>
        <w:t>4</w:t>
      </w:r>
    </w:p>
    <w:p>
      <w:pPr>
        <w:tabs>
          <w:tab w:pos="8640" w:val="left"/>
        </w:tabs>
        <w:spacing w:before="0" w:after="40"/>
      </w:pPr>
      <w:r>
        <w:rPr>
          <w:rFonts w:ascii="Trebuchet MS" w:hAnsi="Trebuchet MS" w:cs="Trebuchet MS" w:eastAsia="Trebuchet MS"/>
          <w:b/>
          <w:i w:val="0"/>
          <w:color w:val="000000"/>
          <w:sz w:val="20"/>
        </w:rPr>
        <w:t>3. Project Overview</w:t>
      </w:r>
      <w:r>
        <w:rPr>
          <w:rFonts w:ascii="Trebuchet MS" w:hAnsi="Trebuchet MS" w:cs="Trebuchet MS" w:eastAsia="Trebuchet MS"/>
          <w:b/>
          <w:i w:val="0"/>
          <w:color w:val="505050"/>
          <w:sz w:val="20"/>
        </w:rPr>
        <w:tab/>
        <w:t>5</w:t>
      </w:r>
    </w:p>
    <w:p>
      <w:pPr>
        <w:tabs>
          <w:tab w:pos="8640" w:val="left"/>
        </w:tabs>
        <w:spacing w:before="0" w:after="40"/>
      </w:pPr>
      <w:r>
        <w:rPr>
          <w:rFonts w:ascii="Trebuchet MS" w:hAnsi="Trebuchet MS" w:cs="Trebuchet MS" w:eastAsia="Trebuchet MS"/>
          <w:b/>
          <w:i w:val="0"/>
          <w:color w:val="000000"/>
          <w:sz w:val="20"/>
        </w:rPr>
        <w:t>4. D - Define Phase</w:t>
      </w:r>
      <w:r>
        <w:rPr>
          <w:rFonts w:ascii="Trebuchet MS" w:hAnsi="Trebuchet MS" w:cs="Trebuchet MS" w:eastAsia="Trebuchet MS"/>
          <w:b/>
          <w:i w:val="0"/>
          <w:color w:val="505050"/>
          <w:sz w:val="20"/>
        </w:rPr>
        <w:tab/>
        <w:t>6</w:t>
      </w:r>
    </w:p>
    <w:p>
      <w:pPr>
        <w:tabs>
          <w:tab w:pos="8640" w:val="left"/>
        </w:tabs>
        <w:spacing w:before="0" w:after="40"/>
      </w:pPr>
      <w:r>
        <w:rPr>
          <w:rFonts w:ascii="Calibri" w:hAnsi="Calibri" w:cs="Calibri" w:eastAsia="Calibri"/>
          <w:b w:val="0"/>
          <w:i w:val="0"/>
          <w:color w:val="000000"/>
          <w:sz w:val="20"/>
        </w:rPr>
        <w:t xml:space="preserve">   4.1 Critical-to-Quality (CTQ) Metric</w:t>
      </w:r>
      <w:r>
        <w:rPr>
          <w:rFonts w:ascii="Calibri" w:hAnsi="Calibri" w:cs="Calibri" w:eastAsia="Calibri"/>
          <w:b w:val="0"/>
          <w:i w:val="0"/>
          <w:color w:val="505050"/>
          <w:sz w:val="20"/>
        </w:rPr>
        <w:tab/>
        <w:t>6</w:t>
      </w:r>
    </w:p>
    <w:p>
      <w:pPr>
        <w:tabs>
          <w:tab w:pos="8640" w:val="left"/>
        </w:tabs>
        <w:spacing w:before="0" w:after="40"/>
      </w:pPr>
      <w:r>
        <w:rPr>
          <w:rFonts w:ascii="Calibri" w:hAnsi="Calibri" w:cs="Calibri" w:eastAsia="Calibri"/>
          <w:b w:val="0"/>
          <w:i w:val="0"/>
          <w:color w:val="000000"/>
          <w:sz w:val="20"/>
        </w:rPr>
        <w:t xml:space="preserve">   4.2 Project Charter</w:t>
      </w:r>
      <w:r>
        <w:rPr>
          <w:rFonts w:ascii="Calibri" w:hAnsi="Calibri" w:cs="Calibri" w:eastAsia="Calibri"/>
          <w:b w:val="0"/>
          <w:i w:val="0"/>
          <w:color w:val="505050"/>
          <w:sz w:val="20"/>
        </w:rPr>
        <w:tab/>
        <w:t>6</w:t>
      </w:r>
    </w:p>
    <w:p>
      <w:pPr>
        <w:tabs>
          <w:tab w:pos="8640" w:val="left"/>
        </w:tabs>
        <w:spacing w:before="0" w:after="40"/>
      </w:pPr>
      <w:r>
        <w:rPr>
          <w:rFonts w:ascii="Calibri" w:hAnsi="Calibri" w:cs="Calibri" w:eastAsia="Calibri"/>
          <w:b w:val="0"/>
          <w:i w:val="0"/>
          <w:color w:val="000000"/>
          <w:sz w:val="20"/>
        </w:rPr>
        <w:t xml:space="preserve">   4.3 SIPOC Process Map</w:t>
      </w:r>
      <w:r>
        <w:rPr>
          <w:rFonts w:ascii="Calibri" w:hAnsi="Calibri" w:cs="Calibri" w:eastAsia="Calibri"/>
          <w:b w:val="0"/>
          <w:i w:val="0"/>
          <w:color w:val="505050"/>
          <w:sz w:val="20"/>
        </w:rPr>
        <w:tab/>
        <w:t>7</w:t>
      </w:r>
    </w:p>
    <w:p>
      <w:pPr>
        <w:tabs>
          <w:tab w:pos="8640" w:val="left"/>
        </w:tabs>
        <w:spacing w:before="0" w:after="40"/>
      </w:pPr>
      <w:r>
        <w:rPr>
          <w:rFonts w:ascii="Trebuchet MS" w:hAnsi="Trebuchet MS" w:cs="Trebuchet MS" w:eastAsia="Trebuchet MS"/>
          <w:b/>
          <w:i w:val="0"/>
          <w:color w:val="000000"/>
          <w:sz w:val="20"/>
        </w:rPr>
        <w:t>5. M - Measure Phase</w:t>
      </w:r>
      <w:r>
        <w:rPr>
          <w:rFonts w:ascii="Trebuchet MS" w:hAnsi="Trebuchet MS" w:cs="Trebuchet MS" w:eastAsia="Trebuchet MS"/>
          <w:b/>
          <w:i w:val="0"/>
          <w:color w:val="505050"/>
          <w:sz w:val="20"/>
        </w:rPr>
        <w:tab/>
        <w:t>7</w:t>
      </w:r>
    </w:p>
    <w:p>
      <w:pPr>
        <w:tabs>
          <w:tab w:pos="8640" w:val="left"/>
        </w:tabs>
        <w:spacing w:before="0" w:after="40"/>
      </w:pPr>
      <w:r>
        <w:rPr>
          <w:rFonts w:ascii="Calibri" w:hAnsi="Calibri" w:cs="Calibri" w:eastAsia="Calibri"/>
          <w:b w:val="0"/>
          <w:i w:val="0"/>
          <w:color w:val="000000"/>
          <w:sz w:val="20"/>
        </w:rPr>
        <w:t xml:space="preserve">   5.1 Baseline Metrics &amp; Data Collection</w:t>
      </w:r>
      <w:r>
        <w:rPr>
          <w:rFonts w:ascii="Calibri" w:hAnsi="Calibri" w:cs="Calibri" w:eastAsia="Calibri"/>
          <w:b w:val="0"/>
          <w:i w:val="0"/>
          <w:color w:val="505050"/>
          <w:sz w:val="20"/>
        </w:rPr>
        <w:tab/>
        <w:t>7</w:t>
      </w:r>
    </w:p>
    <w:p>
      <w:pPr>
        <w:tabs>
          <w:tab w:pos="8640" w:val="left"/>
        </w:tabs>
        <w:spacing w:before="0" w:after="40"/>
      </w:pPr>
      <w:r>
        <w:rPr>
          <w:rFonts w:ascii="Calibri" w:hAnsi="Calibri" w:cs="Calibri" w:eastAsia="Calibri"/>
          <w:b w:val="0"/>
          <w:i w:val="0"/>
          <w:color w:val="000000"/>
          <w:sz w:val="20"/>
        </w:rPr>
        <w:t xml:space="preserve">   5.2 Baseline Metrics Dashboard</w:t>
      </w:r>
      <w:r>
        <w:rPr>
          <w:rFonts w:ascii="Calibri" w:hAnsi="Calibri" w:cs="Calibri" w:eastAsia="Calibri"/>
          <w:b w:val="0"/>
          <w:i w:val="0"/>
          <w:color w:val="505050"/>
          <w:sz w:val="20"/>
        </w:rPr>
        <w:tab/>
        <w:t>8</w:t>
      </w:r>
    </w:p>
    <w:p>
      <w:pPr>
        <w:tabs>
          <w:tab w:pos="8640" w:val="left"/>
        </w:tabs>
        <w:spacing w:before="0" w:after="40"/>
      </w:pPr>
      <w:r>
        <w:rPr>
          <w:rFonts w:ascii="Calibri" w:hAnsi="Calibri" w:cs="Calibri" w:eastAsia="Calibri"/>
          <w:b w:val="0"/>
          <w:i w:val="0"/>
          <w:color w:val="000000"/>
          <w:sz w:val="20"/>
        </w:rPr>
        <w:t xml:space="preserve">   5.3 Pareto Analysis - Top Churn Contributors</w:t>
      </w:r>
      <w:r>
        <w:rPr>
          <w:rFonts w:ascii="Calibri" w:hAnsi="Calibri" w:cs="Calibri" w:eastAsia="Calibri"/>
          <w:b w:val="0"/>
          <w:i w:val="0"/>
          <w:color w:val="505050"/>
          <w:sz w:val="20"/>
        </w:rPr>
        <w:tab/>
        <w:t>8</w:t>
      </w:r>
    </w:p>
    <w:p>
      <w:pPr>
        <w:tabs>
          <w:tab w:pos="8640" w:val="left"/>
        </w:tabs>
        <w:spacing w:before="0" w:after="40"/>
      </w:pPr>
      <w:r>
        <w:rPr>
          <w:rFonts w:ascii="Calibri" w:hAnsi="Calibri" w:cs="Calibri" w:eastAsia="Calibri"/>
          <w:b w:val="0"/>
          <w:i w:val="0"/>
          <w:color w:val="000000"/>
          <w:sz w:val="20"/>
        </w:rPr>
        <w:t xml:space="preserve">   5.4 Distribution Histograms</w:t>
      </w:r>
      <w:r>
        <w:rPr>
          <w:rFonts w:ascii="Calibri" w:hAnsi="Calibri" w:cs="Calibri" w:eastAsia="Calibri"/>
          <w:b w:val="0"/>
          <w:i w:val="0"/>
          <w:color w:val="505050"/>
          <w:sz w:val="20"/>
        </w:rPr>
        <w:tab/>
        <w:t>9</w:t>
      </w:r>
    </w:p>
    <w:p>
      <w:pPr>
        <w:tabs>
          <w:tab w:pos="8640" w:val="left"/>
        </w:tabs>
        <w:spacing w:before="0" w:after="40"/>
      </w:pPr>
      <w:r>
        <w:rPr>
          <w:rFonts w:ascii="Trebuchet MS" w:hAnsi="Trebuchet MS" w:cs="Trebuchet MS" w:eastAsia="Trebuchet MS"/>
          <w:b/>
          <w:i w:val="0"/>
          <w:color w:val="000000"/>
          <w:sz w:val="20"/>
        </w:rPr>
        <w:t>6. A - Analyze Phase</w:t>
      </w:r>
      <w:r>
        <w:rPr>
          <w:rFonts w:ascii="Trebuchet MS" w:hAnsi="Trebuchet MS" w:cs="Trebuchet MS" w:eastAsia="Trebuchet MS"/>
          <w:b/>
          <w:i w:val="0"/>
          <w:color w:val="505050"/>
          <w:sz w:val="20"/>
        </w:rPr>
        <w:tab/>
        <w:t>10</w:t>
      </w:r>
    </w:p>
    <w:p>
      <w:pPr>
        <w:tabs>
          <w:tab w:pos="8640" w:val="left"/>
        </w:tabs>
        <w:spacing w:before="0" w:after="40"/>
      </w:pPr>
      <w:r>
        <w:rPr>
          <w:rFonts w:ascii="Calibri" w:hAnsi="Calibri" w:cs="Calibri" w:eastAsia="Calibri"/>
          <w:b w:val="0"/>
          <w:i w:val="0"/>
          <w:color w:val="000000"/>
          <w:sz w:val="20"/>
        </w:rPr>
        <w:t xml:space="preserve">   6.1 Independent T-Test - Churned vs Active Members</w:t>
      </w:r>
      <w:r>
        <w:rPr>
          <w:rFonts w:ascii="Calibri" w:hAnsi="Calibri" w:cs="Calibri" w:eastAsia="Calibri"/>
          <w:b w:val="0"/>
          <w:i w:val="0"/>
          <w:color w:val="505050"/>
          <w:sz w:val="20"/>
        </w:rPr>
        <w:tab/>
        <w:t>10</w:t>
      </w:r>
    </w:p>
    <w:p>
      <w:pPr>
        <w:tabs>
          <w:tab w:pos="8640" w:val="left"/>
        </w:tabs>
        <w:spacing w:before="0" w:after="40"/>
      </w:pPr>
      <w:r>
        <w:rPr>
          <w:rFonts w:ascii="Calibri" w:hAnsi="Calibri" w:cs="Calibri" w:eastAsia="Calibri"/>
          <w:b w:val="0"/>
          <w:i w:val="0"/>
          <w:color w:val="000000"/>
          <w:sz w:val="20"/>
        </w:rPr>
        <w:t xml:space="preserve">   6.2 Chi-Square Test - Categorical Variables vs Churn</w:t>
      </w:r>
      <w:r>
        <w:rPr>
          <w:rFonts w:ascii="Calibri" w:hAnsi="Calibri" w:cs="Calibri" w:eastAsia="Calibri"/>
          <w:b w:val="0"/>
          <w:i w:val="0"/>
          <w:color w:val="505050"/>
          <w:sz w:val="20"/>
        </w:rPr>
        <w:tab/>
        <w:t>11</w:t>
      </w:r>
    </w:p>
    <w:p>
      <w:pPr>
        <w:tabs>
          <w:tab w:pos="8640" w:val="left"/>
        </w:tabs>
        <w:spacing w:before="0" w:after="40"/>
      </w:pPr>
      <w:r>
        <w:rPr>
          <w:rFonts w:ascii="Calibri" w:hAnsi="Calibri" w:cs="Calibri" w:eastAsia="Calibri"/>
          <w:b w:val="0"/>
          <w:i w:val="0"/>
          <w:color w:val="000000"/>
          <w:sz w:val="20"/>
        </w:rPr>
        <w:t xml:space="preserve">   6.3 F-Test - Variance Comparison (Levene Test)</w:t>
      </w:r>
      <w:r>
        <w:rPr>
          <w:rFonts w:ascii="Calibri" w:hAnsi="Calibri" w:cs="Calibri" w:eastAsia="Calibri"/>
          <w:b w:val="0"/>
          <w:i w:val="0"/>
          <w:color w:val="505050"/>
          <w:sz w:val="20"/>
        </w:rPr>
        <w:tab/>
        <w:t>11</w:t>
      </w:r>
    </w:p>
    <w:p>
      <w:pPr>
        <w:tabs>
          <w:tab w:pos="8640" w:val="left"/>
        </w:tabs>
        <w:spacing w:before="0" w:after="40"/>
      </w:pPr>
      <w:r>
        <w:rPr>
          <w:rFonts w:ascii="Calibri" w:hAnsi="Calibri" w:cs="Calibri" w:eastAsia="Calibri"/>
          <w:b w:val="0"/>
          <w:i w:val="0"/>
          <w:color w:val="000000"/>
          <w:sz w:val="20"/>
        </w:rPr>
        <w:t xml:space="preserve">   6.4 One-Way ANOVA - Satisfaction Across Plan Types</w:t>
      </w:r>
      <w:r>
        <w:rPr>
          <w:rFonts w:ascii="Calibri" w:hAnsi="Calibri" w:cs="Calibri" w:eastAsia="Calibri"/>
          <w:b w:val="0"/>
          <w:i w:val="0"/>
          <w:color w:val="505050"/>
          <w:sz w:val="20"/>
        </w:rPr>
        <w:tab/>
        <w:t>12</w:t>
      </w:r>
    </w:p>
    <w:p>
      <w:pPr>
        <w:tabs>
          <w:tab w:pos="8640" w:val="left"/>
        </w:tabs>
        <w:spacing w:before="0" w:after="40"/>
      </w:pPr>
      <w:r>
        <w:rPr>
          <w:rFonts w:ascii="Calibri" w:hAnsi="Calibri" w:cs="Calibri" w:eastAsia="Calibri"/>
          <w:b w:val="0"/>
          <w:i w:val="0"/>
          <w:color w:val="000000"/>
          <w:sz w:val="20"/>
        </w:rPr>
        <w:t xml:space="preserve">   6.5 Box Plot Comparisons</w:t>
      </w:r>
      <w:r>
        <w:rPr>
          <w:rFonts w:ascii="Calibri" w:hAnsi="Calibri" w:cs="Calibri" w:eastAsia="Calibri"/>
          <w:b w:val="0"/>
          <w:i w:val="0"/>
          <w:color w:val="505050"/>
          <w:sz w:val="20"/>
        </w:rPr>
        <w:tab/>
        <w:t>12</w:t>
      </w:r>
    </w:p>
    <w:p>
      <w:pPr>
        <w:tabs>
          <w:tab w:pos="8640" w:val="left"/>
        </w:tabs>
        <w:spacing w:before="0" w:after="40"/>
      </w:pPr>
      <w:r>
        <w:rPr>
          <w:rFonts w:ascii="Calibri" w:hAnsi="Calibri" w:cs="Calibri" w:eastAsia="Calibri"/>
          <w:b w:val="0"/>
          <w:i w:val="0"/>
          <w:color w:val="000000"/>
          <w:sz w:val="20"/>
        </w:rPr>
        <w:t xml:space="preserve">   6.6 Correlation &amp; Regression Analysis</w:t>
      </w:r>
      <w:r>
        <w:rPr>
          <w:rFonts w:ascii="Calibri" w:hAnsi="Calibri" w:cs="Calibri" w:eastAsia="Calibri"/>
          <w:b w:val="0"/>
          <w:i w:val="0"/>
          <w:color w:val="505050"/>
          <w:sz w:val="20"/>
        </w:rPr>
        <w:tab/>
        <w:t>13</w:t>
      </w:r>
    </w:p>
    <w:p>
      <w:pPr>
        <w:tabs>
          <w:tab w:pos="8640" w:val="left"/>
        </w:tabs>
        <w:spacing w:before="0" w:after="40"/>
      </w:pPr>
      <w:r>
        <w:rPr>
          <w:rFonts w:ascii="Calibri" w:hAnsi="Calibri" w:cs="Calibri" w:eastAsia="Calibri"/>
          <w:b w:val="0"/>
          <w:i w:val="0"/>
          <w:color w:val="000000"/>
          <w:sz w:val="20"/>
        </w:rPr>
        <w:t xml:space="preserve">   6.7 Fishbone (Ishikawa) Diagram</w:t>
      </w:r>
      <w:r>
        <w:rPr>
          <w:rFonts w:ascii="Calibri" w:hAnsi="Calibri" w:cs="Calibri" w:eastAsia="Calibri"/>
          <w:b w:val="0"/>
          <w:i w:val="0"/>
          <w:color w:val="505050"/>
          <w:sz w:val="20"/>
        </w:rPr>
        <w:tab/>
        <w:t>13</w:t>
      </w:r>
    </w:p>
    <w:p>
      <w:pPr>
        <w:tabs>
          <w:tab w:pos="8640" w:val="left"/>
        </w:tabs>
        <w:spacing w:before="0" w:after="40"/>
      </w:pPr>
      <w:r>
        <w:rPr>
          <w:rFonts w:ascii="Calibri" w:hAnsi="Calibri" w:cs="Calibri" w:eastAsia="Calibri"/>
          <w:b w:val="0"/>
          <w:i w:val="0"/>
          <w:color w:val="000000"/>
          <w:sz w:val="20"/>
        </w:rPr>
        <w:t xml:space="preserve">   6.8 5-Whys Root Cause Analysis</w:t>
      </w:r>
      <w:r>
        <w:rPr>
          <w:rFonts w:ascii="Calibri" w:hAnsi="Calibri" w:cs="Calibri" w:eastAsia="Calibri"/>
          <w:b w:val="0"/>
          <w:i w:val="0"/>
          <w:color w:val="505050"/>
          <w:sz w:val="20"/>
        </w:rPr>
        <w:tab/>
        <w:t>14</w:t>
      </w:r>
    </w:p>
    <w:p>
      <w:pPr>
        <w:tabs>
          <w:tab w:pos="8640" w:val="left"/>
        </w:tabs>
        <w:spacing w:before="0" w:after="40"/>
      </w:pPr>
      <w:r>
        <w:rPr>
          <w:rFonts w:ascii="Calibri" w:hAnsi="Calibri" w:cs="Calibri" w:eastAsia="Calibri"/>
          <w:b w:val="0"/>
          <w:i w:val="0"/>
          <w:color w:val="000000"/>
          <w:sz w:val="20"/>
        </w:rPr>
        <w:t xml:space="preserve">   6.9 Voice of Customer (VOC) &amp; Reviews Analysis</w:t>
      </w:r>
      <w:r>
        <w:rPr>
          <w:rFonts w:ascii="Calibri" w:hAnsi="Calibri" w:cs="Calibri" w:eastAsia="Calibri"/>
          <w:b w:val="0"/>
          <w:i w:val="0"/>
          <w:color w:val="505050"/>
          <w:sz w:val="20"/>
        </w:rPr>
        <w:tab/>
        <w:t>14</w:t>
      </w:r>
    </w:p>
    <w:p>
      <w:pPr>
        <w:tabs>
          <w:tab w:pos="8640" w:val="left"/>
        </w:tabs>
        <w:spacing w:before="0" w:after="40"/>
      </w:pPr>
      <w:r>
        <w:rPr>
          <w:rFonts w:ascii="Calibri" w:hAnsi="Calibri" w:cs="Calibri" w:eastAsia="Calibri"/>
          <w:b w:val="0"/>
          <w:i w:val="0"/>
          <w:color w:val="000000"/>
          <w:sz w:val="20"/>
        </w:rPr>
        <w:t xml:space="preserve">   6.10 Survey Data Analysis (n=50 Member Responses)</w:t>
      </w:r>
      <w:r>
        <w:rPr>
          <w:rFonts w:ascii="Calibri" w:hAnsi="Calibri" w:cs="Calibri" w:eastAsia="Calibri"/>
          <w:b w:val="0"/>
          <w:i w:val="0"/>
          <w:color w:val="505050"/>
          <w:sz w:val="20"/>
        </w:rPr>
        <w:tab/>
        <w:t>15</w:t>
      </w:r>
    </w:p>
    <w:p>
      <w:pPr>
        <w:tabs>
          <w:tab w:pos="8640" w:val="left"/>
        </w:tabs>
        <w:spacing w:before="0" w:after="40"/>
      </w:pPr>
      <w:r>
        <w:rPr>
          <w:rFonts w:ascii="Trebuchet MS" w:hAnsi="Trebuchet MS" w:cs="Trebuchet MS" w:eastAsia="Trebuchet MS"/>
          <w:b/>
          <w:i w:val="0"/>
          <w:color w:val="000000"/>
          <w:sz w:val="20"/>
        </w:rPr>
        <w:t>7. I - Improve Phase: FMEA</w:t>
      </w:r>
      <w:r>
        <w:rPr>
          <w:rFonts w:ascii="Trebuchet MS" w:hAnsi="Trebuchet MS" w:cs="Trebuchet MS" w:eastAsia="Trebuchet MS"/>
          <w:b/>
          <w:i w:val="0"/>
          <w:color w:val="505050"/>
          <w:sz w:val="20"/>
        </w:rPr>
        <w:tab/>
        <w:t>17</w:t>
      </w:r>
    </w:p>
    <w:p>
      <w:pPr>
        <w:tabs>
          <w:tab w:pos="8640" w:val="left"/>
        </w:tabs>
        <w:spacing w:before="0" w:after="40"/>
      </w:pPr>
      <w:r>
        <w:rPr>
          <w:rFonts w:ascii="Calibri" w:hAnsi="Calibri" w:cs="Calibri" w:eastAsia="Calibri"/>
          <w:b w:val="0"/>
          <w:i w:val="0"/>
          <w:color w:val="000000"/>
          <w:sz w:val="20"/>
        </w:rPr>
        <w:t xml:space="preserve">   7.1 Failure Mode and Effect Analysis (FMEA)</w:t>
      </w:r>
      <w:r>
        <w:rPr>
          <w:rFonts w:ascii="Calibri" w:hAnsi="Calibri" w:cs="Calibri" w:eastAsia="Calibri"/>
          <w:b w:val="0"/>
          <w:i w:val="0"/>
          <w:color w:val="505050"/>
          <w:sz w:val="20"/>
        </w:rPr>
        <w:tab/>
        <w:t>17</w:t>
      </w:r>
    </w:p>
    <w:p>
      <w:pPr>
        <w:tabs>
          <w:tab w:pos="8640" w:val="left"/>
        </w:tabs>
        <w:spacing w:before="0" w:after="40"/>
      </w:pPr>
      <w:r>
        <w:rPr>
          <w:rFonts w:ascii="Calibri" w:hAnsi="Calibri" w:cs="Calibri" w:eastAsia="Calibri"/>
          <w:b w:val="0"/>
          <w:i w:val="0"/>
          <w:color w:val="000000"/>
          <w:sz w:val="20"/>
        </w:rPr>
        <w:t xml:space="preserve">   7.2 Prioritised Improvement Action Plan</w:t>
      </w:r>
      <w:r>
        <w:rPr>
          <w:rFonts w:ascii="Calibri" w:hAnsi="Calibri" w:cs="Calibri" w:eastAsia="Calibri"/>
          <w:b w:val="0"/>
          <w:i w:val="0"/>
          <w:color w:val="505050"/>
          <w:sz w:val="20"/>
        </w:rPr>
        <w:tab/>
        <w:t>18</w:t>
      </w:r>
    </w:p>
    <w:p>
      <w:pPr>
        <w:tabs>
          <w:tab w:pos="8640" w:val="left"/>
        </w:tabs>
        <w:spacing w:before="0" w:after="40"/>
      </w:pPr>
      <w:r>
        <w:rPr>
          <w:rFonts w:ascii="Trebuchet MS" w:hAnsi="Trebuchet MS" w:cs="Trebuchet MS" w:eastAsia="Trebuchet MS"/>
          <w:b/>
          <w:i w:val="0"/>
          <w:color w:val="000000"/>
          <w:sz w:val="20"/>
        </w:rPr>
        <w:t>8. C - Control Phase: P-Chart</w:t>
      </w:r>
      <w:r>
        <w:rPr>
          <w:rFonts w:ascii="Trebuchet MS" w:hAnsi="Trebuchet MS" w:cs="Trebuchet MS" w:eastAsia="Trebuchet MS"/>
          <w:b/>
          <w:i w:val="0"/>
          <w:color w:val="505050"/>
          <w:sz w:val="20"/>
        </w:rPr>
        <w:tab/>
        <w:t>19</w:t>
      </w:r>
    </w:p>
    <w:p>
      <w:pPr>
        <w:tabs>
          <w:tab w:pos="8640" w:val="left"/>
        </w:tabs>
        <w:spacing w:before="0" w:after="40"/>
      </w:pPr>
      <w:r>
        <w:rPr>
          <w:rFonts w:ascii="Calibri" w:hAnsi="Calibri" w:cs="Calibri" w:eastAsia="Calibri"/>
          <w:b w:val="0"/>
          <w:i w:val="0"/>
          <w:color w:val="000000"/>
          <w:sz w:val="20"/>
        </w:rPr>
        <w:t xml:space="preserve">   8.1 P-Chart - Statistical Process Control</w:t>
      </w:r>
      <w:r>
        <w:rPr>
          <w:rFonts w:ascii="Calibri" w:hAnsi="Calibri" w:cs="Calibri" w:eastAsia="Calibri"/>
          <w:b w:val="0"/>
          <w:i w:val="0"/>
          <w:color w:val="505050"/>
          <w:sz w:val="20"/>
        </w:rPr>
        <w:tab/>
        <w:t>19</w:t>
      </w:r>
    </w:p>
    <w:p>
      <w:pPr>
        <w:tabs>
          <w:tab w:pos="8640" w:val="left"/>
        </w:tabs>
        <w:spacing w:before="0" w:after="40"/>
      </w:pPr>
      <w:r>
        <w:rPr>
          <w:rFonts w:ascii="Calibri" w:hAnsi="Calibri" w:cs="Calibri" w:eastAsia="Calibri"/>
          <w:b w:val="0"/>
          <w:i w:val="0"/>
          <w:color w:val="000000"/>
          <w:sz w:val="20"/>
        </w:rPr>
        <w:t xml:space="preserve">   8.2 P-Chart Results &amp; Sustained Capability</w:t>
      </w:r>
      <w:r>
        <w:rPr>
          <w:rFonts w:ascii="Calibri" w:hAnsi="Calibri" w:cs="Calibri" w:eastAsia="Calibri"/>
          <w:b w:val="0"/>
          <w:i w:val="0"/>
          <w:color w:val="505050"/>
          <w:sz w:val="20"/>
        </w:rPr>
        <w:tab/>
        <w:t>20</w:t>
      </w:r>
    </w:p>
    <w:p>
      <w:pPr>
        <w:tabs>
          <w:tab w:pos="8640" w:val="left"/>
        </w:tabs>
        <w:spacing w:before="0" w:after="40"/>
      </w:pPr>
      <w:r>
        <w:rPr>
          <w:rFonts w:ascii="Trebuchet MS" w:hAnsi="Trebuchet MS" w:cs="Trebuchet MS" w:eastAsia="Trebuchet MS"/>
          <w:b/>
          <w:i w:val="0"/>
          <w:color w:val="000000"/>
          <w:sz w:val="20"/>
        </w:rPr>
        <w:t>9. Conclusion &amp; Recommendations</w:t>
      </w:r>
      <w:r>
        <w:rPr>
          <w:rFonts w:ascii="Trebuchet MS" w:hAnsi="Trebuchet MS" w:cs="Trebuchet MS" w:eastAsia="Trebuchet MS"/>
          <w:b/>
          <w:i w:val="0"/>
          <w:color w:val="505050"/>
          <w:sz w:val="20"/>
        </w:rPr>
        <w:tab/>
        <w:t>21</w:t>
      </w:r>
    </w:p>
    <w:p>
      <w:pPr>
        <w:tabs>
          <w:tab w:pos="8640" w:val="left"/>
        </w:tabs>
        <w:spacing w:before="0" w:after="40"/>
      </w:pPr>
      <w:r>
        <w:rPr>
          <w:rFonts w:ascii="Trebuchet MS" w:hAnsi="Trebuchet MS" w:cs="Trebuchet MS" w:eastAsia="Trebuchet MS"/>
          <w:b/>
          <w:i w:val="0"/>
          <w:color w:val="000000"/>
          <w:sz w:val="20"/>
        </w:rPr>
        <w:t>10. References</w:t>
      </w:r>
      <w:r>
        <w:rPr>
          <w:rFonts w:ascii="Trebuchet MS" w:hAnsi="Trebuchet MS" w:cs="Trebuchet MS" w:eastAsia="Trebuchet MS"/>
          <w:b/>
          <w:i w:val="0"/>
          <w:color w:val="505050"/>
          <w:sz w:val="20"/>
        </w:rPr>
        <w:tab/>
        <w:t>22</w:t>
      </w:r>
    </w:p>
    <w:p>
      <w:r>
        <w:br w:type="page"/>
      </w:r>
    </w:p>
    <w:p>
      <w:pPr>
        <w:spacing w:before="240" w:after="80"/>
        <w:jc w:val="left"/>
        <w:pBdr>
          <w:bottom w:val="single" w:sz="16" w:space="2" w:color="000000"/>
        </w:pBdr>
      </w:pPr>
      <w:r>
        <w:rPr>
          <w:rFonts w:ascii="Trebuchet MS" w:hAnsi="Trebuchet MS" w:cs="Trebuchet MS" w:eastAsia="Trebuchet MS"/>
          <w:b/>
          <w:i w:val="0"/>
          <w:color w:val="000000"/>
          <w:sz w:val="32"/>
        </w:rPr>
        <w:t>1. INTRODUCTION</w:t>
      </w:r>
    </w:p>
    <w:p>
      <w:pPr>
        <w:spacing w:before="0" w:after="60" w:line="276" w:lineRule="auto"/>
        <w:jc w:val="both"/>
      </w:pPr>
      <w:r>
        <w:rPr>
          <w:rFonts w:ascii="Calibri" w:hAnsi="Calibri" w:cs="Calibri" w:eastAsia="Calibri"/>
          <w:b w:val="0"/>
          <w:i w:val="0"/>
          <w:color w:val="000000"/>
          <w:sz w:val="21"/>
        </w:rPr>
        <w:t>The fitness and wellness industry has witnessed exponential growth over the past two decades. However, one of the most persistent challenges faced by fitness centre operators is customer retention. Despite attracting large numbers of new members, many facilities struggle to retain them beyond their initial subscription period. High membership churn impacts revenue, increases customer acquisition costs, erodes brand reputation, and disrupts long-term operational planning.</w:t>
      </w:r>
    </w:p>
    <w:p>
      <w:pPr>
        <w:spacing w:before="0" w:after="60" w:line="276" w:lineRule="auto"/>
        <w:jc w:val="both"/>
      </w:pPr>
      <w:r>
        <w:rPr>
          <w:rFonts w:ascii="Calibri" w:hAnsi="Calibri" w:cs="Calibri" w:eastAsia="Calibri"/>
          <w:b w:val="0"/>
          <w:i w:val="0"/>
          <w:color w:val="000000"/>
          <w:sz w:val="21"/>
        </w:rPr>
        <w:t>This project applies the Lean Six Sigma DMAIC (Define, Measure, Analyze, Improve, Control) methodology to systematically investigate and address member attrition at the Ultimate Fitness Centre. The DMAIC framework is a data-driven quality strategy that provides a structured approach to identifying process defects, understanding root causes, and implementing sustainable improvements.</w:t>
      </w:r>
    </w:p>
    <w:p>
      <w:pPr>
        <w:spacing w:before="0" w:after="60" w:line="276" w:lineRule="auto"/>
        <w:jc w:val="both"/>
      </w:pPr>
      <w:r>
        <w:rPr>
          <w:rFonts w:ascii="Calibri" w:hAnsi="Calibri" w:cs="Calibri" w:eastAsia="Calibri"/>
          <w:b w:val="0"/>
          <w:i w:val="0"/>
          <w:color w:val="000000"/>
          <w:sz w:val="21"/>
        </w:rPr>
        <w:t>The study integrates multiple data sources: historical membership transaction records, customer review sentiments, and a structured 50-response Member Experience Survey. Advanced statistical tools including Independent T-Tests, F-Tests (Levene's), Chi-Square tests, One-Way ANOVA, Box Plots, Pareto Analysis, Correlation Analysis, Fishbone Diagrams, and 5-Whys Analysis are applied systematically across the DMAIC phases.</w:t>
      </w:r>
    </w:p>
    <w:p>
      <w:pPr>
        <w:spacing w:before="240" w:after="80"/>
        <w:jc w:val="left"/>
        <w:pBdr>
          <w:bottom w:val="single" w:sz="16" w:space="2" w:color="000000"/>
        </w:pBdr>
      </w:pPr>
      <w:r>
        <w:rPr>
          <w:rFonts w:ascii="Trebuchet MS" w:hAnsi="Trebuchet MS" w:cs="Trebuchet MS" w:eastAsia="Trebuchet MS"/>
          <w:b/>
          <w:i w:val="0"/>
          <w:color w:val="000000"/>
          <w:sz w:val="32"/>
        </w:rPr>
        <w:t>2. DMAIC METHODOLOGY &amp; ANALYTICAL HIERARCHY</w:t>
      </w:r>
    </w:p>
    <w:p>
      <w:pPr>
        <w:spacing w:before="0" w:after="60" w:line="276" w:lineRule="auto"/>
        <w:jc w:val="both"/>
      </w:pPr>
      <w:r>
        <w:rPr>
          <w:rFonts w:ascii="Calibri" w:hAnsi="Calibri" w:cs="Calibri" w:eastAsia="Calibri"/>
          <w:b w:val="0"/>
          <w:i w:val="0"/>
          <w:color w:val="000000"/>
          <w:sz w:val="21"/>
        </w:rPr>
        <w:t>DMAIC is the core problem-solving framework of Lean Six Sigma, specifically designed for improving existing processes. Unlike creative ideation methods, DMAIC is grounded in empirical data and statistical rigor, structured into five sequential phases:</w:t>
      </w:r>
    </w:p>
    <w:p>
      <w:pPr>
        <w:spacing w:before="160" w:after="40"/>
        <w:jc w:val="left"/>
      </w:pPr>
      <w:r>
        <w:rPr>
          <w:rFonts w:ascii="Trebuchet MS" w:hAnsi="Trebuchet MS" w:cs="Trebuchet MS" w:eastAsia="Trebuchet MS"/>
          <w:b/>
          <w:i w:val="0"/>
          <w:color w:val="000000"/>
          <w:sz w:val="24"/>
        </w:rPr>
        <w:t>2.1 DMAIC Analytical Toolkit Hierarchy Diagram</w:t>
      </w:r>
    </w:p>
    <w:p>
      <w:pPr>
        <w:spacing w:before="0" w:after="60" w:line="276" w:lineRule="auto"/>
        <w:jc w:val="both"/>
      </w:pPr>
      <w:r>
        <w:rPr>
          <w:rFonts w:ascii="Calibri" w:hAnsi="Calibri" w:cs="Calibri" w:eastAsia="Calibri"/>
          <w:b w:val="0"/>
          <w:i w:val="0"/>
          <w:color w:val="000000"/>
          <w:sz w:val="21"/>
        </w:rPr>
        <w:t>The hierarchy diagram below illustrates the end-to-end analytical architecture developed for this retention project. Under each of the five DMAIC letters, every statistical hypothesis test, diagnostic visual chart, and quality engineering tool executed in this project is explicitly organized:</w:t>
      </w:r>
    </w:p>
    <w:p>
      <w:pPr>
        <w:spacing w:before="80" w:after="40"/>
        <w:jc w:val="center"/>
      </w:pPr>
      <w:r>
        <w:drawing>
          <wp:inline xmlns:a="http://schemas.openxmlformats.org/drawingml/2006/main" xmlns:pic="http://schemas.openxmlformats.org/drawingml/2006/picture">
            <wp:extent cx="5669280" cy="3554372"/>
            <wp:docPr id="1" name="Picture 1"/>
            <wp:cNvGraphicFramePr>
              <a:graphicFrameLocks noChangeAspect="1"/>
            </wp:cNvGraphicFramePr>
            <a:graphic>
              <a:graphicData uri="http://schemas.openxmlformats.org/drawingml/2006/picture">
                <pic:pic>
                  <pic:nvPicPr>
                    <pic:cNvPr id="0" name="dmaic_hierarchy_diagram.png"/>
                    <pic:cNvPicPr/>
                  </pic:nvPicPr>
                  <pic:blipFill>
                    <a:blip r:embed="rId9"/>
                    <a:stretch>
                      <a:fillRect/>
                    </a:stretch>
                  </pic:blipFill>
                  <pic:spPr>
                    <a:xfrm>
                      <a:off x="0" y="0"/>
                      <a:ext cx="5669280" cy="3554372"/>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2.1:</w:t>
      </w:r>
      <w:r>
        <w:rPr>
          <w:rFonts w:ascii="Calibri" w:hAnsi="Calibri" w:cs="Calibri" w:eastAsia="Calibri"/>
          <w:b w:val="0"/>
          <w:i/>
          <w:color w:val="505050"/>
          <w:sz w:val="18"/>
        </w:rPr>
        <w:t xml:space="preserve"> DMAIC Analytical Toolkit Hierarchy — Quality Frameworks, Statistical Hypothesis Tests, Visual Charts &amp; SPC Controls Across DMAIC Phases</w:t>
      </w:r>
    </w:p>
    <w:p>
      <w:pPr>
        <w:spacing w:before="160" w:after="40"/>
        <w:jc w:val="left"/>
      </w:pPr>
      <w:r>
        <w:rPr>
          <w:rFonts w:ascii="Trebuchet MS" w:hAnsi="Trebuchet MS" w:cs="Trebuchet MS" w:eastAsia="Trebuchet MS"/>
          <w:b/>
          <w:i w:val="0"/>
          <w:color w:val="000000"/>
          <w:sz w:val="24"/>
        </w:rPr>
        <w:t>2.2 DMAIC Analytical Hierarchy Matrix</w:t>
      </w:r>
    </w:p>
    <w:p>
      <w:pPr>
        <w:spacing w:before="0" w:after="60" w:line="276" w:lineRule="auto"/>
        <w:jc w:val="both"/>
      </w:pPr>
      <w:r>
        <w:rPr>
          <w:rFonts w:ascii="Calibri" w:hAnsi="Calibri" w:cs="Calibri" w:eastAsia="Calibri"/>
          <w:b w:val="0"/>
          <w:i w:val="0"/>
          <w:color w:val="000000"/>
          <w:sz w:val="21"/>
        </w:rPr>
        <w:t>The matrix below details the comprehensive analytical toolkit deployed across each phase of the project, including statistical tests, charts, frameworks, and verified outcomes: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1882"/>
        <w:gridCol w:w="1882"/>
        <w:gridCol w:w="1882"/>
        <w:gridCol w:w="1882"/>
        <w:gridCol w:w="1882"/>
      </w:tblGrid>
      <w:tr>
        <w:tc>
          <w:tcPr>
            <w:tcW w:type="dxa" w:w="1656"/>
            <w:shd w:val="clear" w:color="auto" w:fill="000000"/>
          </w:tcPr>
          <w:p>
            <w:pPr>
              <w:spacing w:before="60" w:after="60"/>
              <w:jc w:val="center"/>
            </w:pPr>
            <w:r/>
            <w:r>
              <w:rPr>
                <w:rFonts w:ascii="Trebuchet MS" w:hAnsi="Trebuchet MS" w:cs="Trebuchet MS" w:eastAsia="Trebuchet MS"/>
                <w:b/>
                <w:i w:val="0"/>
                <w:color w:val="FFFFFF"/>
                <w:sz w:val="18"/>
              </w:rPr>
              <w:t>Phase &amp; Focus</w:t>
            </w:r>
          </w:p>
        </w:tc>
        <w:tc>
          <w:tcPr>
            <w:tcW w:type="dxa" w:w="2160"/>
            <w:shd w:val="clear" w:color="auto" w:fill="000000"/>
          </w:tcPr>
          <w:p>
            <w:pPr>
              <w:spacing w:before="60" w:after="60"/>
              <w:jc w:val="center"/>
            </w:pPr>
            <w:r/>
            <w:r>
              <w:rPr>
                <w:rFonts w:ascii="Trebuchet MS" w:hAnsi="Trebuchet MS" w:cs="Trebuchet MS" w:eastAsia="Trebuchet MS"/>
                <w:b/>
                <w:i w:val="0"/>
                <w:color w:val="FFFFFF"/>
                <w:sz w:val="18"/>
              </w:rPr>
              <w:t>Statistical Tests &amp; Formulas</w:t>
            </w:r>
          </w:p>
        </w:tc>
        <w:tc>
          <w:tcPr>
            <w:tcW w:type="dxa" w:w="2232"/>
            <w:shd w:val="clear" w:color="auto" w:fill="000000"/>
          </w:tcPr>
          <w:p>
            <w:pPr>
              <w:spacing w:before="60" w:after="60"/>
              <w:jc w:val="center"/>
            </w:pPr>
            <w:r/>
            <w:r>
              <w:rPr>
                <w:rFonts w:ascii="Trebuchet MS" w:hAnsi="Trebuchet MS" w:cs="Trebuchet MS" w:eastAsia="Trebuchet MS"/>
                <w:b/>
                <w:i w:val="0"/>
                <w:color w:val="FFFFFF"/>
                <w:sz w:val="18"/>
              </w:rPr>
              <w:t>Diagnostic Charts &amp; Plots</w:t>
            </w:r>
          </w:p>
        </w:tc>
        <w:tc>
          <w:tcPr>
            <w:tcW w:type="dxa" w:w="1584"/>
            <w:shd w:val="clear" w:color="auto" w:fill="000000"/>
          </w:tcPr>
          <w:p>
            <w:pPr>
              <w:spacing w:before="60" w:after="60"/>
              <w:jc w:val="center"/>
            </w:pPr>
            <w:r/>
            <w:r>
              <w:rPr>
                <w:rFonts w:ascii="Trebuchet MS" w:hAnsi="Trebuchet MS" w:cs="Trebuchet MS" w:eastAsia="Trebuchet MS"/>
                <w:b/>
                <w:i w:val="0"/>
                <w:color w:val="FFFFFF"/>
                <w:sz w:val="18"/>
              </w:rPr>
              <w:t>Quality Frameworks</w:t>
            </w:r>
          </w:p>
        </w:tc>
        <w:tc>
          <w:tcPr>
            <w:tcW w:type="dxa" w:w="1872"/>
            <w:shd w:val="clear" w:color="auto" w:fill="000000"/>
          </w:tcPr>
          <w:p>
            <w:pPr>
              <w:spacing w:before="60" w:after="60"/>
              <w:jc w:val="center"/>
            </w:pPr>
            <w:r/>
            <w:r>
              <w:rPr>
                <w:rFonts w:ascii="Trebuchet MS" w:hAnsi="Trebuchet MS" w:cs="Trebuchet MS" w:eastAsia="Trebuchet MS"/>
                <w:b/>
                <w:i w:val="0"/>
                <w:color w:val="FFFFFF"/>
                <w:sz w:val="18"/>
              </w:rPr>
              <w:t>Deliverable / Result</w:t>
            </w:r>
          </w:p>
        </w:tc>
      </w:tr>
      <w:tr>
        <w:tc>
          <w:tcPr>
            <w:tcW w:type="dxa" w:w="1656"/>
            <w:shd w:val="clear" w:color="auto" w:fill="F8F9FA"/>
          </w:tcPr>
          <w:p>
            <w:pPr>
              <w:spacing w:before="40" w:after="40" w:line="264" w:lineRule="auto"/>
              <w:jc w:val="left"/>
            </w:pPr>
            <w:r/>
            <w:r>
              <w:rPr>
                <w:rFonts w:ascii="Calibri" w:hAnsi="Calibri" w:cs="Calibri" w:eastAsia="Calibri"/>
                <w:b w:val="0"/>
                <w:i w:val="0"/>
                <w:color w:val="000000"/>
                <w:sz w:val="17"/>
              </w:rPr>
              <w:t>D - DEFINE</w:t>
              <w:br/>
              <w:t>Problem Scoping &amp;</w:t>
              <w:br/>
              <w:t>Voice of Customer</w:t>
            </w:r>
          </w:p>
        </w:tc>
        <w:tc>
          <w:tcPr>
            <w:tcW w:type="dxa" w:w="2160"/>
            <w:shd w:val="clear" w:color="auto" w:fill="F8F9FA"/>
          </w:tcPr>
          <w:p>
            <w:pPr>
              <w:spacing w:before="40" w:after="40" w:line="264" w:lineRule="auto"/>
              <w:jc w:val="left"/>
            </w:pPr>
            <w:r/>
            <w:r>
              <w:rPr>
                <w:rFonts w:ascii="Calibri" w:hAnsi="Calibri" w:cs="Calibri" w:eastAsia="Calibri"/>
                <w:b w:val="0"/>
                <w:i w:val="0"/>
                <w:color w:val="000000"/>
                <w:sz w:val="17"/>
              </w:rPr>
              <w:t>• Defect: Non-renewal = 1 defect</w:t>
              <w:br/>
              <w:t>• CTQ Formula: Churn % = (Lost/Active)×100%</w:t>
            </w:r>
          </w:p>
        </w:tc>
        <w:tc>
          <w:tcPr>
            <w:tcW w:type="dxa" w:w="2232"/>
            <w:shd w:val="clear" w:color="auto" w:fill="F8F9FA"/>
          </w:tcPr>
          <w:p>
            <w:pPr>
              <w:spacing w:before="40" w:after="40" w:line="264" w:lineRule="auto"/>
              <w:jc w:val="left"/>
            </w:pPr>
            <w:r/>
            <w:r>
              <w:rPr>
                <w:rFonts w:ascii="Calibri" w:hAnsi="Calibri" w:cs="Calibri" w:eastAsia="Calibri"/>
                <w:b w:val="0"/>
                <w:i w:val="0"/>
                <w:color w:val="000000"/>
                <w:sz w:val="17"/>
              </w:rPr>
              <w:t>• CTQ Metric Flowdown Tree</w:t>
              <w:br/>
              <w:t>• SIPOC Process Map Matrix</w:t>
              <w:br/>
              <w:t>• Project Timeline Roadmap</w:t>
            </w:r>
          </w:p>
        </w:tc>
        <w:tc>
          <w:tcPr>
            <w:tcW w:type="dxa" w:w="1584"/>
            <w:shd w:val="clear" w:color="auto" w:fill="F8F9FA"/>
          </w:tcPr>
          <w:p>
            <w:pPr>
              <w:spacing w:before="40" w:after="40" w:line="264" w:lineRule="auto"/>
              <w:jc w:val="left"/>
            </w:pPr>
            <w:r/>
            <w:r>
              <w:rPr>
                <w:rFonts w:ascii="Calibri" w:hAnsi="Calibri" w:cs="Calibri" w:eastAsia="Calibri"/>
                <w:b w:val="0"/>
                <w:i w:val="0"/>
                <w:color w:val="000000"/>
                <w:sz w:val="17"/>
              </w:rPr>
              <w:t>• Project Charter</w:t>
              <w:br/>
              <w:t>• SIPOC (5 Core Steps)</w:t>
              <w:br/>
              <w:t>• VOC Translation Matrix</w:t>
            </w:r>
          </w:p>
        </w:tc>
        <w:tc>
          <w:tcPr>
            <w:tcW w:type="dxa" w:w="1872"/>
            <w:shd w:val="clear" w:color="auto" w:fill="F8F9FA"/>
          </w:tcPr>
          <w:p>
            <w:pPr>
              <w:spacing w:before="40" w:after="40" w:line="264" w:lineRule="auto"/>
              <w:jc w:val="left"/>
            </w:pPr>
            <w:r/>
            <w:r>
              <w:rPr>
                <w:rFonts w:ascii="Calibri" w:hAnsi="Calibri" w:cs="Calibri" w:eastAsia="Calibri"/>
                <w:b w:val="0"/>
                <w:i w:val="0"/>
                <w:color w:val="000000"/>
                <w:sz w:val="17"/>
              </w:rPr>
              <w:t>Charter signed off;</w:t>
              <w:br/>
              <w:t>Baseline churn ~27%;</w:t>
              <w:br/>
              <w:t>Target &lt;15% monthly churn</w:t>
            </w:r>
          </w:p>
        </w:tc>
      </w:tr>
      <w:tr>
        <w:tc>
          <w:tcPr>
            <w:tcW w:type="dxa" w:w="1656"/>
            <w:shd w:val="clear" w:color="auto" w:fill="FFFFFF"/>
          </w:tcPr>
          <w:p>
            <w:pPr>
              <w:spacing w:before="40" w:after="40" w:line="264" w:lineRule="auto"/>
              <w:jc w:val="left"/>
            </w:pPr>
            <w:r/>
            <w:r>
              <w:rPr>
                <w:rFonts w:ascii="Calibri" w:hAnsi="Calibri" w:cs="Calibri" w:eastAsia="Calibri"/>
                <w:b w:val="0"/>
                <w:i w:val="0"/>
                <w:color w:val="000000"/>
                <w:sz w:val="17"/>
              </w:rPr>
              <w:t>M - MEASURE</w:t>
              <w:br/>
              <w:t>Baseline Metrics &amp;</w:t>
              <w:br/>
              <w:t>Pareto Analysis</w:t>
            </w:r>
          </w:p>
        </w:tc>
        <w:tc>
          <w:tcPr>
            <w:tcW w:type="dxa" w:w="2160"/>
            <w:shd w:val="clear" w:color="auto" w:fill="FFFFFF"/>
          </w:tcPr>
          <w:p>
            <w:pPr>
              <w:spacing w:before="40" w:after="40" w:line="264" w:lineRule="auto"/>
              <w:jc w:val="left"/>
            </w:pPr>
            <w:r/>
            <w:r>
              <w:rPr>
                <w:rFonts w:ascii="Calibri" w:hAnsi="Calibri" w:cs="Calibri" w:eastAsia="Calibri"/>
                <w:b w:val="0"/>
                <w:i w:val="0"/>
                <w:color w:val="000000"/>
                <w:sz w:val="17"/>
              </w:rPr>
              <w:t>• Process Sigma: Z = 2.1 σ</w:t>
              <w:br/>
              <w:t>• DPMO = 272,000 ppm</w:t>
              <w:br/>
              <w:t>• Churn Proportion: p = 0.272</w:t>
              <w:br/>
              <w:t>• Mean Duration: 4.2 mos</w:t>
              <w:br/>
              <w:t>• Payment Delay: 2.1 days</w:t>
            </w:r>
          </w:p>
        </w:tc>
        <w:tc>
          <w:tcPr>
            <w:tcW w:type="dxa" w:w="2232"/>
            <w:shd w:val="clear" w:color="auto" w:fill="FFFFFF"/>
          </w:tcPr>
          <w:p>
            <w:pPr>
              <w:spacing w:before="40" w:after="40" w:line="264" w:lineRule="auto"/>
              <w:jc w:val="left"/>
            </w:pPr>
            <w:r/>
            <w:r>
              <w:rPr>
                <w:rFonts w:ascii="Calibri" w:hAnsi="Calibri" w:cs="Calibri" w:eastAsia="Calibri"/>
                <w:b w:val="0"/>
                <w:i w:val="0"/>
                <w:color w:val="000000"/>
                <w:sz w:val="17"/>
              </w:rPr>
              <w:t>• Baseline Metrics Dashboard</w:t>
              <w:br/>
              <w:t>• Pareto 1: Churn by Plan Type</w:t>
              <w:br/>
              <w:t>• Pareto 2: Churn by Duration</w:t>
              <w:br/>
              <w:t>• Histograms: Duration, Amount, Age</w:t>
              <w:br/>
              <w:t>• Monthly Enrollment Seasonality Trend</w:t>
            </w:r>
          </w:p>
        </w:tc>
        <w:tc>
          <w:tcPr>
            <w:tcW w:type="dxa" w:w="1584"/>
            <w:shd w:val="clear" w:color="auto" w:fill="FFFFFF"/>
          </w:tcPr>
          <w:p>
            <w:pPr>
              <w:spacing w:before="40" w:after="40" w:line="264" w:lineRule="auto"/>
              <w:jc w:val="left"/>
            </w:pPr>
            <w:r/>
            <w:r>
              <w:rPr>
                <w:rFonts w:ascii="Calibri" w:hAnsi="Calibri" w:cs="Calibri" w:eastAsia="Calibri"/>
                <w:b w:val="0"/>
                <w:i w:val="0"/>
                <w:color w:val="000000"/>
                <w:sz w:val="17"/>
              </w:rPr>
              <w:t>• Master Data Cleaning (n=475+)</w:t>
              <w:br/>
              <w:t>• Pareto 80/20 Prioritization</w:t>
              <w:br/>
              <w:t>• Process Capability Baseline</w:t>
            </w:r>
          </w:p>
        </w:tc>
        <w:tc>
          <w:tcPr>
            <w:tcW w:type="dxa" w:w="1872"/>
            <w:shd w:val="clear" w:color="auto" w:fill="FFFFFF"/>
          </w:tcPr>
          <w:p>
            <w:pPr>
              <w:spacing w:before="40" w:after="40" w:line="264" w:lineRule="auto"/>
              <w:jc w:val="left"/>
            </w:pPr>
            <w:r/>
            <w:r>
              <w:rPr>
                <w:rFonts w:ascii="Calibri" w:hAnsi="Calibri" w:cs="Calibri" w:eastAsia="Calibri"/>
                <w:b w:val="0"/>
                <w:i w:val="0"/>
                <w:color w:val="000000"/>
                <w:sz w:val="17"/>
              </w:rPr>
              <w:t>Baseline established at 2.1σ;</w:t>
              <w:br/>
              <w:t>Monthly plans identified as</w:t>
              <w:br/>
              <w:t>vital few (77% churn rate)</w:t>
            </w:r>
          </w:p>
        </w:tc>
      </w:tr>
      <w:tr>
        <w:tc>
          <w:tcPr>
            <w:tcW w:type="dxa" w:w="1656"/>
            <w:shd w:val="clear" w:color="auto" w:fill="F8F9FA"/>
          </w:tcPr>
          <w:p>
            <w:pPr>
              <w:spacing w:before="40" w:after="40" w:line="264" w:lineRule="auto"/>
              <w:jc w:val="left"/>
            </w:pPr>
            <w:r/>
            <w:r>
              <w:rPr>
                <w:rFonts w:ascii="Calibri" w:hAnsi="Calibri" w:cs="Calibri" w:eastAsia="Calibri"/>
                <w:b w:val="0"/>
                <w:i w:val="0"/>
                <w:color w:val="000000"/>
                <w:sz w:val="17"/>
              </w:rPr>
              <w:t>A - ANALYZE</w:t>
              <w:br/>
              <w:t>Hypothesis Testing &amp;</w:t>
              <w:br/>
              <w:t>Root Cause Isolation</w:t>
            </w:r>
          </w:p>
        </w:tc>
        <w:tc>
          <w:tcPr>
            <w:tcW w:type="dxa" w:w="2160"/>
            <w:shd w:val="clear" w:color="auto" w:fill="F8F9FA"/>
          </w:tcPr>
          <w:p>
            <w:pPr>
              <w:spacing w:before="40" w:after="40" w:line="264" w:lineRule="auto"/>
              <w:jc w:val="left"/>
            </w:pPr>
            <w:r/>
            <w:r>
              <w:rPr>
                <w:rFonts w:ascii="Calibri" w:hAnsi="Calibri" w:cs="Calibri" w:eastAsia="Calibri"/>
                <w:b w:val="0"/>
                <w:i w:val="0"/>
                <w:color w:val="000000"/>
                <w:sz w:val="17"/>
              </w:rPr>
              <w:t>• Welch T-Tests (5 vars, p&lt;0.001)</w:t>
              <w:br/>
              <w:t>• Chi-Square Tests (χ²=87.4, p&lt;0.001)</w:t>
              <w:br/>
              <w:t>• Levene's F-Test (p&gt;0.05, equal var)</w:t>
              <w:br/>
              <w:t>• One-Way ANOVA (p=0.012, 0.019)</w:t>
              <w:br/>
              <w:t>• Survey Hypothesis Tests (n=50)</w:t>
            </w:r>
          </w:p>
        </w:tc>
        <w:tc>
          <w:tcPr>
            <w:tcW w:type="dxa" w:w="2232"/>
            <w:shd w:val="clear" w:color="auto" w:fill="F8F9FA"/>
          </w:tcPr>
          <w:p>
            <w:pPr>
              <w:spacing w:before="40" w:after="40" w:line="264" w:lineRule="auto"/>
              <w:jc w:val="left"/>
            </w:pPr>
            <w:r/>
            <w:r>
              <w:rPr>
                <w:rFonts w:ascii="Calibri" w:hAnsi="Calibri" w:cs="Calibri" w:eastAsia="Calibri"/>
                <w:b w:val="0"/>
                <w:i w:val="0"/>
                <w:color w:val="000000"/>
                <w:sz w:val="17"/>
              </w:rPr>
              <w:t>• Box Plot Panels (Active vs Churned)</w:t>
              <w:br/>
              <w:t>• Survey 6-Dimension Box Plots</w:t>
              <w:br/>
              <w:t>• Correlation Heatmap (r &gt; 0.7) &amp; Scatter</w:t>
              <w:br/>
              <w:t>• Fishbone (6M Ishikawa) Diagram</w:t>
              <w:br/>
              <w:t>• 5-Whys Root Cause Tree</w:t>
              <w:br/>
              <w:t>• VOC Reviews Sentiment Themes</w:t>
              <w:br/>
              <w:t>• Survey Insights Dashboard &amp; NPS Donut</w:t>
            </w:r>
          </w:p>
        </w:tc>
        <w:tc>
          <w:tcPr>
            <w:tcW w:type="dxa" w:w="1584"/>
            <w:shd w:val="clear" w:color="auto" w:fill="F8F9FA"/>
          </w:tcPr>
          <w:p>
            <w:pPr>
              <w:spacing w:before="40" w:after="40" w:line="264" w:lineRule="auto"/>
              <w:jc w:val="left"/>
            </w:pPr>
            <w:r/>
            <w:r>
              <w:rPr>
                <w:rFonts w:ascii="Calibri" w:hAnsi="Calibri" w:cs="Calibri" w:eastAsia="Calibri"/>
                <w:b w:val="0"/>
                <w:i w:val="0"/>
                <w:color w:val="000000"/>
                <w:sz w:val="17"/>
              </w:rPr>
              <w:t>• 6M Fishbone Analysis</w:t>
              <w:br/>
              <w:t>• 5-Whys Root Cause Tree</w:t>
              <w:br/>
              <w:t>• Net Promoter Score (+44 NPS)</w:t>
              <w:br/>
              <w:t>• VOC Sentiment Coding</w:t>
            </w:r>
          </w:p>
        </w:tc>
        <w:tc>
          <w:tcPr>
            <w:tcW w:type="dxa" w:w="1872"/>
            <w:shd w:val="clear" w:color="auto" w:fill="F8F9FA"/>
          </w:tcPr>
          <w:p>
            <w:pPr>
              <w:spacing w:before="40" w:after="40" w:line="264" w:lineRule="auto"/>
              <w:jc w:val="left"/>
            </w:pPr>
            <w:r/>
            <w:r>
              <w:rPr>
                <w:rFonts w:ascii="Calibri" w:hAnsi="Calibri" w:cs="Calibri" w:eastAsia="Calibri"/>
                <w:b w:val="0"/>
                <w:i w:val="0"/>
                <w:color w:val="000000"/>
                <w:sz w:val="17"/>
              </w:rPr>
              <w:t>Root causes statistically</w:t>
              <w:br/>
              <w:t>validated: Plan duration gap,</w:t>
              <w:br/>
              <w:t>missing CRM reminders, peak</w:t>
              <w:br/>
              <w:t>overcrowding &amp; goal tracking</w:t>
            </w:r>
          </w:p>
        </w:tc>
      </w:tr>
      <w:tr>
        <w:tc>
          <w:tcPr>
            <w:tcW w:type="dxa" w:w="1656"/>
            <w:shd w:val="clear" w:color="auto" w:fill="FFFFFF"/>
          </w:tcPr>
          <w:p>
            <w:pPr>
              <w:spacing w:before="40" w:after="40" w:line="264" w:lineRule="auto"/>
              <w:jc w:val="left"/>
            </w:pPr>
            <w:r/>
            <w:r>
              <w:rPr>
                <w:rFonts w:ascii="Calibri" w:hAnsi="Calibri" w:cs="Calibri" w:eastAsia="Calibri"/>
                <w:b w:val="0"/>
                <w:i w:val="0"/>
                <w:color w:val="000000"/>
                <w:sz w:val="17"/>
              </w:rPr>
              <w:t>I - IMPROVE</w:t>
              <w:br/>
              <w:t>FMEA Risk Ranking &amp;</w:t>
              <w:br/>
              <w:t>Countermeasures</w:t>
            </w:r>
          </w:p>
        </w:tc>
        <w:tc>
          <w:tcPr>
            <w:tcW w:type="dxa" w:w="2160"/>
            <w:shd w:val="clear" w:color="auto" w:fill="FFFFFF"/>
          </w:tcPr>
          <w:p>
            <w:pPr>
              <w:spacing w:before="40" w:after="40" w:line="264" w:lineRule="auto"/>
              <w:jc w:val="left"/>
            </w:pPr>
            <w:r/>
            <w:r>
              <w:rPr>
                <w:rFonts w:ascii="Calibri" w:hAnsi="Calibri" w:cs="Calibri" w:eastAsia="Calibri"/>
                <w:b w:val="0"/>
                <w:i w:val="0"/>
                <w:color w:val="000000"/>
                <w:sz w:val="17"/>
              </w:rPr>
              <w:t>• FMEA Risk Priority Number formula:</w:t>
              <w:br/>
              <w:t xml:space="preserve">  RPN = Severity × Occurrence × Detection</w:t>
              <w:br/>
              <w:t>• 7 Failure Modes with RPN ≥ 200 (Critical)</w:t>
            </w:r>
          </w:p>
        </w:tc>
        <w:tc>
          <w:tcPr>
            <w:tcW w:type="dxa" w:w="2232"/>
            <w:shd w:val="clear" w:color="auto" w:fill="FFFFFF"/>
          </w:tcPr>
          <w:p>
            <w:pPr>
              <w:spacing w:before="40" w:after="40" w:line="264" w:lineRule="auto"/>
              <w:jc w:val="left"/>
            </w:pPr>
            <w:r/>
            <w:r>
              <w:rPr>
                <w:rFonts w:ascii="Calibri" w:hAnsi="Calibri" w:cs="Calibri" w:eastAsia="Calibri"/>
                <w:b w:val="0"/>
                <w:i w:val="0"/>
                <w:color w:val="000000"/>
                <w:sz w:val="17"/>
              </w:rPr>
              <w:t>• FMEA RPN Pareto Ranking Chart</w:t>
              <w:br/>
              <w:t>• FMEA Risk Matrix (Bubble Scatter)</w:t>
              <w:br/>
              <w:t>• Countermeasure Roadmap</w:t>
            </w:r>
          </w:p>
        </w:tc>
        <w:tc>
          <w:tcPr>
            <w:tcW w:type="dxa" w:w="1584"/>
            <w:shd w:val="clear" w:color="auto" w:fill="FFFFFF"/>
          </w:tcPr>
          <w:p>
            <w:pPr>
              <w:spacing w:before="40" w:after="40" w:line="264" w:lineRule="auto"/>
              <w:jc w:val="left"/>
            </w:pPr>
            <w:r/>
            <w:r>
              <w:rPr>
                <w:rFonts w:ascii="Calibri" w:hAnsi="Calibri" w:cs="Calibri" w:eastAsia="Calibri"/>
                <w:b w:val="0"/>
                <w:i w:val="0"/>
                <w:color w:val="000000"/>
                <w:sz w:val="17"/>
              </w:rPr>
              <w:t>• Failure Mode &amp; Effects Analysis</w:t>
              <w:br/>
              <w:t>• Action Prioritization Matrix</w:t>
              <w:br/>
              <w:t>• Implementation Action Plan</w:t>
            </w:r>
          </w:p>
        </w:tc>
        <w:tc>
          <w:tcPr>
            <w:tcW w:type="dxa" w:w="1872"/>
            <w:shd w:val="clear" w:color="auto" w:fill="FFFFFF"/>
          </w:tcPr>
          <w:p>
            <w:pPr>
              <w:spacing w:before="40" w:after="40" w:line="264" w:lineRule="auto"/>
              <w:jc w:val="left"/>
            </w:pPr>
            <w:r/>
            <w:r>
              <w:rPr>
                <w:rFonts w:ascii="Calibri" w:hAnsi="Calibri" w:cs="Calibri" w:eastAsia="Calibri"/>
                <w:b w:val="0"/>
                <w:i w:val="0"/>
                <w:color w:val="000000"/>
                <w:sz w:val="17"/>
              </w:rPr>
              <w:t>7 Critical Countermeasures</w:t>
              <w:br/>
              <w:t>deployed: Auto reminders (378),</w:t>
              <w:br/>
              <w:t>Fitness assessment (336),</w:t>
              <w:br/>
              <w:t>Crowd tracker, Plan discounts</w:t>
            </w:r>
          </w:p>
        </w:tc>
      </w:tr>
      <w:tr>
        <w:tc>
          <w:tcPr>
            <w:tcW w:type="dxa" w:w="1656"/>
            <w:shd w:val="clear" w:color="auto" w:fill="F8F9FA"/>
          </w:tcPr>
          <w:p>
            <w:pPr>
              <w:spacing w:before="40" w:after="40" w:line="264" w:lineRule="auto"/>
              <w:jc w:val="left"/>
            </w:pPr>
            <w:r/>
            <w:r>
              <w:rPr>
                <w:rFonts w:ascii="Calibri" w:hAnsi="Calibri" w:cs="Calibri" w:eastAsia="Calibri"/>
                <w:b w:val="0"/>
                <w:i w:val="0"/>
                <w:color w:val="000000"/>
                <w:sz w:val="17"/>
              </w:rPr>
              <w:t>C - CONTROL</w:t>
              <w:br/>
              <w:t>Statistical Process</w:t>
              <w:br/>
              <w:t>Control &amp; SOPs</w:t>
            </w:r>
          </w:p>
        </w:tc>
        <w:tc>
          <w:tcPr>
            <w:tcW w:type="dxa" w:w="2160"/>
            <w:shd w:val="clear" w:color="auto" w:fill="F8F9FA"/>
          </w:tcPr>
          <w:p>
            <w:pPr>
              <w:spacing w:before="40" w:after="40" w:line="264" w:lineRule="auto"/>
              <w:jc w:val="left"/>
            </w:pPr>
            <w:r/>
            <w:r>
              <w:rPr>
                <w:rFonts w:ascii="Calibri" w:hAnsi="Calibri" w:cs="Calibri" w:eastAsia="Calibri"/>
                <w:b w:val="0"/>
                <w:i w:val="0"/>
                <w:color w:val="000000"/>
                <w:sz w:val="17"/>
              </w:rPr>
              <w:t>• P-Chart SPC Formulas with 3σ limits:</w:t>
              <w:br/>
              <w:t xml:space="preserve">  CL = p-bar; UCL/LCL = p ± 3√(p(1-p)/n)</w:t>
              <w:br/>
              <w:t>• Nelson SPC Stability Rules (0 Viols)</w:t>
            </w:r>
          </w:p>
        </w:tc>
        <w:tc>
          <w:tcPr>
            <w:tcW w:type="dxa" w:w="2232"/>
            <w:shd w:val="clear" w:color="auto" w:fill="F8F9FA"/>
          </w:tcPr>
          <w:p>
            <w:pPr>
              <w:spacing w:before="40" w:after="40" w:line="264" w:lineRule="auto"/>
              <w:jc w:val="left"/>
            </w:pPr>
            <w:r/>
            <w:r>
              <w:rPr>
                <w:rFonts w:ascii="Calibri" w:hAnsi="Calibri" w:cs="Calibri" w:eastAsia="Calibri"/>
                <w:b w:val="0"/>
                <w:i w:val="0"/>
                <w:color w:val="000000"/>
                <w:sz w:val="17"/>
              </w:rPr>
              <w:t>• P-Chart Monthly Churn Trend with</w:t>
              <w:br/>
              <w:t xml:space="preserve">  Pre (Y1) vs Post (Y2) Limits</w:t>
              <w:br/>
              <w:t>• SPC Summary Dashboard</w:t>
            </w:r>
          </w:p>
        </w:tc>
        <w:tc>
          <w:tcPr>
            <w:tcW w:type="dxa" w:w="1584"/>
            <w:shd w:val="clear" w:color="auto" w:fill="F8F9FA"/>
          </w:tcPr>
          <w:p>
            <w:pPr>
              <w:spacing w:before="40" w:after="40" w:line="264" w:lineRule="auto"/>
              <w:jc w:val="left"/>
            </w:pPr>
            <w:r/>
            <w:r>
              <w:rPr>
                <w:rFonts w:ascii="Calibri" w:hAnsi="Calibri" w:cs="Calibri" w:eastAsia="Calibri"/>
                <w:b w:val="0"/>
                <w:i w:val="0"/>
                <w:color w:val="000000"/>
                <w:sz w:val="17"/>
              </w:rPr>
              <w:t>• Statistical Process Control (SPC)</w:t>
              <w:br/>
              <w:t>• Out-of-Control Plan (OCAP)</w:t>
              <w:br/>
              <w:t>• Standard Operating Procedures</w:t>
            </w:r>
          </w:p>
        </w:tc>
        <w:tc>
          <w:tcPr>
            <w:tcW w:type="dxa" w:w="1872"/>
            <w:shd w:val="clear" w:color="auto" w:fill="F8F9FA"/>
          </w:tcPr>
          <w:p>
            <w:pPr>
              <w:spacing w:before="40" w:after="40" w:line="264" w:lineRule="auto"/>
              <w:jc w:val="left"/>
            </w:pPr>
            <w:r/>
            <w:r>
              <w:rPr>
                <w:rFonts w:ascii="Calibri" w:hAnsi="Calibri" w:cs="Calibri" w:eastAsia="Calibri"/>
                <w:b w:val="0"/>
                <w:i w:val="0"/>
                <w:color w:val="000000"/>
                <w:sz w:val="17"/>
              </w:rPr>
              <w:t>45.2% Churn Reduction achieved;</w:t>
              <w:br/>
              <w:t>Monthly churn sustained at 14.7%</w:t>
              <w:br/>
              <w:t>(&lt;15% target met); 2.6 Sigma</w:t>
            </w:r>
          </w:p>
        </w:tc>
      </w:tr>
    </w:tbl>
    <w:p>
      <w:pPr>
        <w:spacing w:before="160" w:after="40"/>
        <w:jc w:val="left"/>
      </w:pPr>
      <w:r>
        <w:rPr>
          <w:rFonts w:ascii="Trebuchet MS" w:hAnsi="Trebuchet MS" w:cs="Trebuchet MS" w:eastAsia="Trebuchet MS"/>
          <w:b/>
          <w:i w:val="0"/>
          <w:color w:val="000000"/>
          <w:sz w:val="24"/>
        </w:rPr>
        <w:t>2.3 Phase-by-Phase Methodological Breakdown</w:t>
      </w:r>
    </w:p>
    <w:p>
      <w:pPr>
        <w:spacing w:before="40" w:after="40" w:line="276" w:lineRule="auto"/>
      </w:pPr>
      <w:r>
        <w:rPr>
          <w:rFonts w:ascii="Trebuchet MS" w:hAnsi="Trebuchet MS" w:cs="Trebuchet MS" w:eastAsia="Trebuchet MS"/>
          <w:b/>
          <w:i w:val="0"/>
          <w:color w:val="000000"/>
          <w:sz w:val="21"/>
        </w:rPr>
        <w:t xml:space="preserve">D - DEFINE: </w:t>
      </w:r>
      <w:r>
        <w:rPr>
          <w:rFonts w:ascii="Calibri" w:hAnsi="Calibri" w:cs="Calibri" w:eastAsia="Calibri"/>
          <w:b w:val="0"/>
          <w:i w:val="0"/>
          <w:color w:val="000000"/>
          <w:sz w:val="21"/>
        </w:rPr>
        <w:t>Establishes the problem foundation, scopes business boundaries, and sets Critical-to-Quality (CTQ) specifications. Core tools include the Project Charter, SIPOC Process Map, and Voice of Customer (VOC) Translation Matrix. Primary CTQ is established as Monthly Churn Rate with an operational defect definition where any non-renewal upon plan expiry is recorded as one defect.</w:t>
      </w:r>
    </w:p>
    <w:p>
      <w:pPr>
        <w:spacing w:before="40" w:after="40" w:line="276" w:lineRule="auto"/>
      </w:pPr>
      <w:r>
        <w:rPr>
          <w:rFonts w:ascii="Trebuchet MS" w:hAnsi="Trebuchet MS" w:cs="Trebuchet MS" w:eastAsia="Trebuchet MS"/>
          <w:b/>
          <w:i w:val="0"/>
          <w:color w:val="000000"/>
          <w:sz w:val="21"/>
        </w:rPr>
        <w:t xml:space="preserve">M - MEASURE: </w:t>
      </w:r>
      <w:r>
        <w:rPr>
          <w:rFonts w:ascii="Calibri" w:hAnsi="Calibri" w:cs="Calibri" w:eastAsia="Calibri"/>
          <w:b w:val="0"/>
          <w:i w:val="0"/>
          <w:color w:val="000000"/>
          <w:sz w:val="21"/>
        </w:rPr>
        <w:t>Collects empirical baseline data across 475+ member records and 50 survey responses. Quantifies current state capability at 2.1 Sigma (DPMO ~272,000) with a monthly churn rate of 27.2%. Pareto analysis isolates monthly membership plans (77% churn) and short-tenure members (&lt;3 months) as the vital few drivers generating &gt;80% of total member attrition.</w:t>
      </w:r>
    </w:p>
    <w:p>
      <w:pPr>
        <w:spacing w:before="40" w:after="40" w:line="276" w:lineRule="auto"/>
      </w:pPr>
      <w:r>
        <w:rPr>
          <w:rFonts w:ascii="Trebuchet MS" w:hAnsi="Trebuchet MS" w:cs="Trebuchet MS" w:eastAsia="Trebuchet MS"/>
          <w:b/>
          <w:i w:val="0"/>
          <w:color w:val="000000"/>
          <w:sz w:val="21"/>
        </w:rPr>
        <w:t xml:space="preserve">A - ANALYZE: </w:t>
      </w:r>
      <w:r>
        <w:rPr>
          <w:rFonts w:ascii="Calibri" w:hAnsi="Calibri" w:cs="Calibri" w:eastAsia="Calibri"/>
          <w:b w:val="0"/>
          <w:i w:val="0"/>
          <w:color w:val="000000"/>
          <w:sz w:val="21"/>
        </w:rPr>
        <w:t>Conducts rigorous statistical hypothesis testing at alpha = 0.05. Independent Two-Sample T-Tests, Chi-Square Tests of Independence, Levene F-Tests, and One-Way ANOVA statistically confirm that plan duration, payment gap delays, and facility overcrowding are significant drivers. Root-cause diagrams including the 6M Fishbone and 5-Whys isolate lack of renewal alerts, goal stagnation, and peak crowding.</w:t>
      </w:r>
    </w:p>
    <w:p>
      <w:pPr>
        <w:spacing w:before="40" w:after="40" w:line="276" w:lineRule="auto"/>
      </w:pPr>
      <w:r>
        <w:rPr>
          <w:rFonts w:ascii="Trebuchet MS" w:hAnsi="Trebuchet MS" w:cs="Trebuchet MS" w:eastAsia="Trebuchet MS"/>
          <w:b/>
          <w:i w:val="0"/>
          <w:color w:val="000000"/>
          <w:sz w:val="21"/>
        </w:rPr>
        <w:t xml:space="preserve">I - IMPROVE: </w:t>
      </w:r>
      <w:r>
        <w:rPr>
          <w:rFonts w:ascii="Calibri" w:hAnsi="Calibri" w:cs="Calibri" w:eastAsia="Calibri"/>
          <w:b w:val="0"/>
          <w:i w:val="0"/>
          <w:color w:val="000000"/>
          <w:sz w:val="21"/>
        </w:rPr>
        <w:t>Utilizes Failure Mode and Effects Analysis (FMEA) to score failure modes across Severity, Occurrence, and Detection. Identifies 7 CRITICAL failure modes (RPN &gt;= 200), led by lack of renewal reminders (RPN 378). Deploys targeted countermeasures including CRM 30-15-7 day automated reminders, monthly fitness assessments, live crowd monitoring, and annual plan upgrade discounts.</w:t>
      </w:r>
    </w:p>
    <w:p>
      <w:pPr>
        <w:spacing w:before="40" w:after="40" w:line="276" w:lineRule="auto"/>
      </w:pPr>
      <w:r>
        <w:rPr>
          <w:rFonts w:ascii="Trebuchet MS" w:hAnsi="Trebuchet MS" w:cs="Trebuchet MS" w:eastAsia="Trebuchet MS"/>
          <w:b/>
          <w:i w:val="0"/>
          <w:color w:val="000000"/>
          <w:sz w:val="21"/>
        </w:rPr>
        <w:t xml:space="preserve">C - CONTROL: </w:t>
      </w:r>
      <w:r>
        <w:rPr>
          <w:rFonts w:ascii="Calibri" w:hAnsi="Calibri" w:cs="Calibri" w:eastAsia="Calibri"/>
          <w:b w:val="0"/>
          <w:i w:val="0"/>
          <w:color w:val="000000"/>
          <w:sz w:val="21"/>
        </w:rPr>
        <w:t>Establishes Statistical Process Control (SPC) via the P-Chart (Proportion Defective) with 3-sigma control limits. Tracks monthly churn across 12 months pre-improvement vs 6 months post-improvement. Post-improvement mean churn drops from 26.9% to 14.7% (a 45.2% reduction), meeting the project objective (&lt;15%) with zero out-of-control signals and improving process capability to 2.6 Sigma.</w:t>
      </w:r>
    </w:p>
    <w:p>
      <w:pPr>
        <w:spacing w:before="160" w:after="40"/>
        <w:jc w:val="left"/>
      </w:pPr>
      <w:r>
        <w:rPr>
          <w:rFonts w:ascii="Trebuchet MS" w:hAnsi="Trebuchet MS" w:cs="Trebuchet MS" w:eastAsia="Trebuchet MS"/>
          <w:b/>
          <w:i w:val="0"/>
          <w:color w:val="000000"/>
          <w:sz w:val="24"/>
        </w:rPr>
        <w:t>Why DMAIC for Member Retention?</w:t>
      </w:r>
    </w:p>
    <w:p>
      <w:pPr>
        <w:spacing w:before="0" w:after="60" w:line="276" w:lineRule="auto"/>
        <w:jc w:val="both"/>
      </w:pPr>
      <w:r>
        <w:rPr>
          <w:rFonts w:ascii="Calibri" w:hAnsi="Calibri" w:cs="Calibri" w:eastAsia="Calibri"/>
          <w:b w:val="0"/>
          <w:i w:val="0"/>
          <w:color w:val="000000"/>
          <w:sz w:val="21"/>
        </w:rPr>
        <w:t>Member retention is an operational process problem. Members join, engage with services, and either renew or churn. This lifecycle has clearly identifiable inputs (plan type, engagement), process steps (onboarding, billing, renewal), and outputs (retained vs. churned members). DMAIC is ideally suited because it demands empirical measurement before action, and statistical evidence before conclusion.</w:t>
      </w:r>
    </w:p>
    <w:p>
      <w:pPr>
        <w:spacing w:before="240" w:after="80"/>
        <w:jc w:val="left"/>
        <w:pBdr>
          <w:bottom w:val="single" w:sz="16" w:space="2" w:color="000000"/>
        </w:pBdr>
      </w:pPr>
      <w:r>
        <w:rPr>
          <w:rFonts w:ascii="Trebuchet MS" w:hAnsi="Trebuchet MS" w:cs="Trebuchet MS" w:eastAsia="Trebuchet MS"/>
          <w:b/>
          <w:i w:val="0"/>
          <w:color w:val="000000"/>
          <w:sz w:val="32"/>
        </w:rPr>
        <w:t>3. PROJECT OVERVIEW</w:t>
      </w:r>
    </w:p>
    <w:p>
      <w:pPr>
        <w:spacing w:before="160" w:after="40"/>
        <w:jc w:val="left"/>
      </w:pPr>
      <w:r>
        <w:rPr>
          <w:rFonts w:ascii="Trebuchet MS" w:hAnsi="Trebuchet MS" w:cs="Trebuchet MS" w:eastAsia="Trebuchet MS"/>
          <w:b/>
          <w:i w:val="0"/>
          <w:color w:val="000000"/>
          <w:sz w:val="24"/>
        </w:rPr>
        <w:t>ORGANIZATION: Ultimate Fitness Centre , RATHINAMANGALAM</w:t>
      </w:r>
    </w:p>
    <w:p>
      <w:pPr>
        <w:spacing w:before="0" w:after="60" w:line="276" w:lineRule="auto"/>
        <w:jc w:val="both"/>
      </w:pPr>
      <w:r>
        <w:rPr>
          <w:rFonts w:ascii="Calibri" w:hAnsi="Calibri" w:cs="Calibri" w:eastAsia="Calibri"/>
          <w:b w:val="0"/>
          <w:i w:val="0"/>
          <w:color w:val="000000"/>
          <w:sz w:val="21"/>
        </w:rPr>
        <w:t>The Ultimate Fitness Centre is a mid-sized facility offering Monthly, Quarterly (3-Month), and Annual (12-Month) membership plans, with equipment, group classes, personal training, and wellness services. The facility primarily serves urban members aged 18-45.</w:t>
      </w:r>
    </w:p>
    <w:p>
      <w:pPr>
        <w:spacing w:before="160" w:after="40"/>
        <w:jc w:val="left"/>
      </w:pPr>
      <w:r>
        <w:rPr>
          <w:rFonts w:ascii="Trebuchet MS" w:hAnsi="Trebuchet MS" w:cs="Trebuchet MS" w:eastAsia="Trebuchet MS"/>
          <w:b/>
          <w:i w:val="0"/>
          <w:color w:val="000000"/>
          <w:sz w:val="24"/>
        </w:rPr>
        <w:t>PROBLEM STATEMENT</w:t>
      </w:r>
    </w:p>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PROBLEM STATEMENT: </w:t>
      </w:r>
      <w:r>
        <w:rPr>
          <w:rFonts w:ascii="Calibri" w:hAnsi="Calibri" w:cs="Calibri" w:eastAsia="Calibri"/>
          <w:b w:val="0"/>
          <w:i/>
          <w:color w:val="000000"/>
          <w:sz w:val="20"/>
        </w:rPr>
        <w:t>A significant proportion of the member base was found to be churning upon plan expiry, particularly acute among monthly plan members (77% churn rate). The cumulative effect was declining active memberships, reduced revenue predictability, and an unsustainable marketing acquisition burden.</w:t>
      </w:r>
    </w:p>
    <w:p>
      <w:pPr>
        <w:spacing w:before="160" w:after="40"/>
        <w:jc w:val="left"/>
      </w:pPr>
      <w:r>
        <w:rPr>
          <w:rFonts w:ascii="Trebuchet MS" w:hAnsi="Trebuchet MS" w:cs="Trebuchet MS" w:eastAsia="Trebuchet MS"/>
          <w:b/>
          <w:i w:val="0"/>
          <w:color w:val="000000"/>
          <w:sz w:val="24"/>
        </w:rPr>
        <w:t>PROJECT OBJECTIVES</w:t>
      </w:r>
    </w:p>
    <w:p>
      <w:pPr>
        <w:pStyle w:val="ListBullet"/>
        <w:spacing w:before="0" w:after="40" w:line="276" w:lineRule="auto"/>
        <w:jc w:val="left"/>
      </w:pPr>
      <w:r>
        <w:rPr>
          <w:rFonts w:ascii="Calibri" w:hAnsi="Calibri" w:cs="Calibri" w:eastAsia="Calibri"/>
          <w:b w:val="0"/>
          <w:i w:val="0"/>
          <w:color w:val="000000"/>
          <w:sz w:val="20"/>
        </w:rPr>
        <w:t>Quantify current member churn rate and establish performance baseline including Sigma Level</w:t>
      </w:r>
    </w:p>
    <w:p>
      <w:pPr>
        <w:pStyle w:val="ListBullet"/>
        <w:spacing w:before="0" w:after="40" w:line="276" w:lineRule="auto"/>
        <w:jc w:val="left"/>
      </w:pPr>
      <w:r>
        <w:rPr>
          <w:rFonts w:ascii="Calibri" w:hAnsi="Calibri" w:cs="Calibri" w:eastAsia="Calibri"/>
          <w:b w:val="0"/>
          <w:i w:val="0"/>
          <w:color w:val="000000"/>
          <w:sz w:val="20"/>
        </w:rPr>
        <w:t>Identify primary statistical drivers of member attrition through rigorous hypothesis testing</w:t>
      </w:r>
    </w:p>
    <w:p>
      <w:pPr>
        <w:pStyle w:val="ListBullet"/>
        <w:spacing w:before="0" w:after="40" w:line="276" w:lineRule="auto"/>
        <w:jc w:val="left"/>
      </w:pPr>
      <w:r>
        <w:rPr>
          <w:rFonts w:ascii="Calibri" w:hAnsi="Calibri" w:cs="Calibri" w:eastAsia="Calibri"/>
          <w:b w:val="0"/>
          <w:i w:val="0"/>
          <w:color w:val="000000"/>
          <w:sz w:val="20"/>
        </w:rPr>
        <w:t>Validate root causes using T-Tests, Chi-Square tests, ANOVA, and F-Tests</w:t>
      </w:r>
    </w:p>
    <w:p>
      <w:pPr>
        <w:pStyle w:val="ListBullet"/>
        <w:spacing w:before="0" w:after="40" w:line="276" w:lineRule="auto"/>
        <w:jc w:val="left"/>
      </w:pPr>
      <w:r>
        <w:rPr>
          <w:rFonts w:ascii="Calibri" w:hAnsi="Calibri" w:cs="Calibri" w:eastAsia="Calibri"/>
          <w:b w:val="0"/>
          <w:i w:val="0"/>
          <w:color w:val="000000"/>
          <w:sz w:val="20"/>
        </w:rPr>
        <w:t>Develop a prioritised improvement plan using FMEA (Risk Priority Number ranking)</w:t>
      </w:r>
    </w:p>
    <w:p>
      <w:pPr>
        <w:pStyle w:val="ListBullet"/>
        <w:spacing w:before="0" w:after="40" w:line="276" w:lineRule="auto"/>
        <w:jc w:val="left"/>
      </w:pPr>
      <w:r>
        <w:rPr>
          <w:rFonts w:ascii="Calibri" w:hAnsi="Calibri" w:cs="Calibri" w:eastAsia="Calibri"/>
          <w:b w:val="0"/>
          <w:i w:val="0"/>
          <w:color w:val="000000"/>
          <w:sz w:val="20"/>
        </w:rPr>
        <w:t>Implement and monitor improvements using the P-Chart (Statistical Process Control)</w:t>
      </w:r>
    </w:p>
    <w:p>
      <w:pPr>
        <w:pStyle w:val="ListBullet"/>
        <w:spacing w:before="0" w:after="40" w:line="276" w:lineRule="auto"/>
        <w:jc w:val="left"/>
      </w:pPr>
      <w:r>
        <w:rPr>
          <w:rFonts w:ascii="Calibri" w:hAnsi="Calibri" w:cs="Calibri" w:eastAsia="Calibri"/>
          <w:b w:val="0"/>
          <w:i w:val="0"/>
          <w:color w:val="000000"/>
          <w:sz w:val="20"/>
        </w:rPr>
        <w:t>Achieve a measurable churn reduction targeting less than 15% monthly churn rate</w:t>
      </w:r>
    </w:p>
    <w:p>
      <w:pPr>
        <w:spacing w:before="160" w:after="40"/>
        <w:jc w:val="left"/>
      </w:pPr>
      <w:r>
        <w:rPr>
          <w:rFonts w:ascii="Trebuchet MS" w:hAnsi="Trebuchet MS" w:cs="Trebuchet MS" w:eastAsia="Trebuchet MS"/>
          <w:b/>
          <w:i w:val="0"/>
          <w:color w:val="000000"/>
          <w:sz w:val="24"/>
        </w:rPr>
        <w:t>DATA SOURCES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3137"/>
        <w:gridCol w:w="3137"/>
        <w:gridCol w:w="3137"/>
      </w:tblGrid>
      <w:tr>
        <w:tc>
          <w:tcPr>
            <w:tcW w:type="dxa" w:w="2880"/>
            <w:shd w:val="clear" w:color="auto" w:fill="000000"/>
          </w:tcPr>
          <w:p>
            <w:pPr>
              <w:spacing w:before="60" w:after="60"/>
              <w:jc w:val="center"/>
            </w:pPr>
            <w:r/>
            <w:r>
              <w:rPr>
                <w:rFonts w:ascii="Trebuchet MS" w:hAnsi="Trebuchet MS" w:cs="Trebuchet MS" w:eastAsia="Trebuchet MS"/>
                <w:b/>
                <w:i w:val="0"/>
                <w:color w:val="FFFFFF"/>
                <w:sz w:val="18"/>
              </w:rPr>
              <w:t>Source</w:t>
            </w:r>
          </w:p>
        </w:tc>
        <w:tc>
          <w:tcPr>
            <w:tcW w:type="dxa" w:w="4896"/>
            <w:shd w:val="clear" w:color="auto" w:fill="000000"/>
          </w:tcPr>
          <w:p>
            <w:pPr>
              <w:spacing w:before="60" w:after="60"/>
              <w:jc w:val="center"/>
            </w:pPr>
            <w:r/>
            <w:r>
              <w:rPr>
                <w:rFonts w:ascii="Trebuchet MS" w:hAnsi="Trebuchet MS" w:cs="Trebuchet MS" w:eastAsia="Trebuchet MS"/>
                <w:b/>
                <w:i w:val="0"/>
                <w:color w:val="FFFFFF"/>
                <w:sz w:val="18"/>
              </w:rPr>
              <w:t>Description</w:t>
            </w:r>
          </w:p>
        </w:tc>
        <w:tc>
          <w:tcPr>
            <w:tcW w:type="dxa" w:w="1728"/>
            <w:shd w:val="clear" w:color="auto" w:fill="000000"/>
          </w:tcPr>
          <w:p>
            <w:pPr>
              <w:spacing w:before="60" w:after="60"/>
              <w:jc w:val="center"/>
            </w:pPr>
            <w:r/>
            <w:r>
              <w:rPr>
                <w:rFonts w:ascii="Trebuchet MS" w:hAnsi="Trebuchet MS" w:cs="Trebuchet MS" w:eastAsia="Trebuchet MS"/>
                <w:b/>
                <w:i w:val="0"/>
                <w:color w:val="FFFFFF"/>
                <w:sz w:val="18"/>
              </w:rPr>
              <w:t>Volume</w:t>
            </w:r>
          </w:p>
        </w:tc>
      </w:tr>
      <w:tr>
        <w:tc>
          <w:tcPr>
            <w:tcW w:type="dxa" w:w="2880"/>
            <w:shd w:val="clear" w:color="auto" w:fill="F8F9FA"/>
          </w:tcPr>
          <w:p>
            <w:pPr>
              <w:spacing w:before="40" w:after="40" w:line="264" w:lineRule="auto"/>
              <w:jc w:val="left"/>
            </w:pPr>
            <w:r/>
            <w:r>
              <w:rPr>
                <w:rFonts w:ascii="Calibri" w:hAnsi="Calibri" w:cs="Calibri" w:eastAsia="Calibri"/>
                <w:b w:val="0"/>
                <w:i w:val="0"/>
                <w:color w:val="000000"/>
                <w:sz w:val="17"/>
              </w:rPr>
              <w:t>Membership Transactions</w:t>
            </w:r>
          </w:p>
        </w:tc>
        <w:tc>
          <w:tcPr>
            <w:tcW w:type="dxa" w:w="4896"/>
            <w:shd w:val="clear" w:color="auto" w:fill="F8F9FA"/>
          </w:tcPr>
          <w:p>
            <w:pPr>
              <w:spacing w:before="40" w:after="40" w:line="264" w:lineRule="auto"/>
              <w:jc w:val="left"/>
            </w:pPr>
            <w:r/>
            <w:r>
              <w:rPr>
                <w:rFonts w:ascii="Calibri" w:hAnsi="Calibri" w:cs="Calibri" w:eastAsia="Calibri"/>
                <w:b w:val="0"/>
                <w:i w:val="0"/>
                <w:color w:val="000000"/>
                <w:sz w:val="17"/>
              </w:rPr>
              <w:t>Sign-ups, renewals, and cancellations for all members</w:t>
            </w:r>
          </w:p>
        </w:tc>
        <w:tc>
          <w:tcPr>
            <w:tcW w:type="dxa" w:w="1728"/>
            <w:shd w:val="clear" w:color="auto" w:fill="F8F9FA"/>
          </w:tcPr>
          <w:p>
            <w:pPr>
              <w:spacing w:before="40" w:after="40" w:line="264" w:lineRule="auto"/>
              <w:jc w:val="left"/>
            </w:pPr>
            <w:r/>
            <w:r>
              <w:rPr>
                <w:rFonts w:ascii="Calibri" w:hAnsi="Calibri" w:cs="Calibri" w:eastAsia="Calibri"/>
                <w:b w:val="0"/>
                <w:i w:val="0"/>
                <w:color w:val="000000"/>
                <w:sz w:val="17"/>
              </w:rPr>
              <w:t>475+ records</w:t>
            </w:r>
          </w:p>
        </w:tc>
      </w:tr>
      <w:tr>
        <w:tc>
          <w:tcPr>
            <w:tcW w:type="dxa" w:w="2880"/>
            <w:shd w:val="clear" w:color="auto" w:fill="FFFFFF"/>
          </w:tcPr>
          <w:p>
            <w:pPr>
              <w:spacing w:before="40" w:after="40" w:line="264" w:lineRule="auto"/>
              <w:jc w:val="left"/>
            </w:pPr>
            <w:r/>
            <w:r>
              <w:rPr>
                <w:rFonts w:ascii="Calibri" w:hAnsi="Calibri" w:cs="Calibri" w:eastAsia="Calibri"/>
                <w:b w:val="0"/>
                <w:i w:val="0"/>
                <w:color w:val="000000"/>
                <w:sz w:val="17"/>
              </w:rPr>
              <w:t>Member Experience Survey</w:t>
            </w:r>
          </w:p>
        </w:tc>
        <w:tc>
          <w:tcPr>
            <w:tcW w:type="dxa" w:w="4896"/>
            <w:shd w:val="clear" w:color="auto" w:fill="FFFFFF"/>
          </w:tcPr>
          <w:p>
            <w:pPr>
              <w:spacing w:before="40" w:after="40" w:line="264" w:lineRule="auto"/>
              <w:jc w:val="left"/>
            </w:pPr>
            <w:r/>
            <w:r>
              <w:rPr>
                <w:rFonts w:ascii="Calibri" w:hAnsi="Calibri" w:cs="Calibri" w:eastAsia="Calibri"/>
                <w:b w:val="0"/>
                <w:i w:val="0"/>
                <w:color w:val="000000"/>
                <w:sz w:val="17"/>
              </w:rPr>
              <w:t>23-variable questionnaire on satisfaction and renewal intent</w:t>
            </w:r>
          </w:p>
        </w:tc>
        <w:tc>
          <w:tcPr>
            <w:tcW w:type="dxa" w:w="1728"/>
            <w:shd w:val="clear" w:color="auto" w:fill="FFFFFF"/>
          </w:tcPr>
          <w:p>
            <w:pPr>
              <w:spacing w:before="40" w:after="40" w:line="264" w:lineRule="auto"/>
              <w:jc w:val="left"/>
            </w:pPr>
            <w:r/>
            <w:r>
              <w:rPr>
                <w:rFonts w:ascii="Calibri" w:hAnsi="Calibri" w:cs="Calibri" w:eastAsia="Calibri"/>
                <w:b w:val="0"/>
                <w:i w:val="0"/>
                <w:color w:val="000000"/>
                <w:sz w:val="17"/>
              </w:rPr>
              <w:t>50 responses</w:t>
            </w:r>
          </w:p>
        </w:tc>
      </w:tr>
      <w:tr>
        <w:tc>
          <w:tcPr>
            <w:tcW w:type="dxa" w:w="2880"/>
            <w:shd w:val="clear" w:color="auto" w:fill="F8F9FA"/>
          </w:tcPr>
          <w:p>
            <w:pPr>
              <w:spacing w:before="40" w:after="40" w:line="264" w:lineRule="auto"/>
              <w:jc w:val="left"/>
            </w:pPr>
            <w:r/>
            <w:r>
              <w:rPr>
                <w:rFonts w:ascii="Calibri" w:hAnsi="Calibri" w:cs="Calibri" w:eastAsia="Calibri"/>
                <w:b w:val="0"/>
                <w:i w:val="0"/>
                <w:color w:val="000000"/>
                <w:sz w:val="17"/>
              </w:rPr>
              <w:t>Customer Reviews</w:t>
            </w:r>
          </w:p>
        </w:tc>
        <w:tc>
          <w:tcPr>
            <w:tcW w:type="dxa" w:w="4896"/>
            <w:shd w:val="clear" w:color="auto" w:fill="F8F9FA"/>
          </w:tcPr>
          <w:p>
            <w:pPr>
              <w:spacing w:before="40" w:after="40" w:line="264" w:lineRule="auto"/>
              <w:jc w:val="left"/>
            </w:pPr>
            <w:r/>
            <w:r>
              <w:rPr>
                <w:rFonts w:ascii="Calibri" w:hAnsi="Calibri" w:cs="Calibri" w:eastAsia="Calibri"/>
                <w:b w:val="0"/>
                <w:i w:val="0"/>
                <w:color w:val="000000"/>
                <w:sz w:val="17"/>
              </w:rPr>
              <w:t>Text reviews for VOC and sentiment analysis</w:t>
            </w:r>
          </w:p>
        </w:tc>
        <w:tc>
          <w:tcPr>
            <w:tcW w:type="dxa" w:w="1728"/>
            <w:shd w:val="clear" w:color="auto" w:fill="F8F9FA"/>
          </w:tcPr>
          <w:p>
            <w:pPr>
              <w:spacing w:before="40" w:after="40" w:line="264" w:lineRule="auto"/>
              <w:jc w:val="left"/>
            </w:pPr>
            <w:r/>
            <w:r>
              <w:rPr>
                <w:rFonts w:ascii="Calibri" w:hAnsi="Calibri" w:cs="Calibri" w:eastAsia="Calibri"/>
                <w:b w:val="0"/>
                <w:i w:val="0"/>
                <w:color w:val="000000"/>
                <w:sz w:val="17"/>
              </w:rPr>
              <w:t>60+ reviews</w:t>
            </w:r>
          </w:p>
        </w:tc>
      </w:tr>
      <w:tr>
        <w:tc>
          <w:tcPr>
            <w:tcW w:type="dxa" w:w="2880"/>
            <w:shd w:val="clear" w:color="auto" w:fill="FFFFFF"/>
          </w:tcPr>
          <w:p>
            <w:pPr>
              <w:spacing w:before="40" w:after="40" w:line="264" w:lineRule="auto"/>
              <w:jc w:val="left"/>
            </w:pPr>
            <w:r/>
            <w:r>
              <w:rPr>
                <w:rFonts w:ascii="Calibri" w:hAnsi="Calibri" w:cs="Calibri" w:eastAsia="Calibri"/>
                <w:b w:val="0"/>
                <w:i w:val="0"/>
                <w:color w:val="000000"/>
                <w:sz w:val="17"/>
              </w:rPr>
              <w:t>Payment Records</w:t>
            </w:r>
          </w:p>
        </w:tc>
        <w:tc>
          <w:tcPr>
            <w:tcW w:type="dxa" w:w="4896"/>
            <w:shd w:val="clear" w:color="auto" w:fill="FFFFFF"/>
          </w:tcPr>
          <w:p>
            <w:pPr>
              <w:spacing w:before="40" w:after="40" w:line="264" w:lineRule="auto"/>
              <w:jc w:val="left"/>
            </w:pPr>
            <w:r/>
            <w:r>
              <w:rPr>
                <w:rFonts w:ascii="Calibri" w:hAnsi="Calibri" w:cs="Calibri" w:eastAsia="Calibri"/>
                <w:b w:val="0"/>
                <w:i w:val="0"/>
                <w:color w:val="000000"/>
                <w:sz w:val="17"/>
              </w:rPr>
              <w:t>Billing data, payment gaps, and plan pricing</w:t>
            </w:r>
          </w:p>
        </w:tc>
        <w:tc>
          <w:tcPr>
            <w:tcW w:type="dxa" w:w="1728"/>
            <w:shd w:val="clear" w:color="auto" w:fill="FFFFFF"/>
          </w:tcPr>
          <w:p>
            <w:pPr>
              <w:spacing w:before="40" w:after="40" w:line="264" w:lineRule="auto"/>
              <w:jc w:val="left"/>
            </w:pPr>
            <w:r/>
            <w:r>
              <w:rPr>
                <w:rFonts w:ascii="Calibri" w:hAnsi="Calibri" w:cs="Calibri" w:eastAsia="Calibri"/>
                <w:b w:val="0"/>
                <w:i w:val="0"/>
                <w:color w:val="000000"/>
                <w:sz w:val="17"/>
              </w:rPr>
              <w:t>All transactions</w:t>
            </w:r>
          </w:p>
        </w:tc>
      </w:tr>
    </w:tbl>
    <w:p>
      <w:r>
        <w:br w:type="page"/>
      </w:r>
    </w:p>
    <w:p>
      <w:pPr>
        <w:spacing w:before="240" w:after="80"/>
        <w:jc w:val="left"/>
        <w:pBdr>
          <w:bottom w:val="single" w:sz="16" w:space="2" w:color="000000"/>
        </w:pBdr>
      </w:pPr>
      <w:r>
        <w:rPr>
          <w:rFonts w:ascii="Trebuchet MS" w:hAnsi="Trebuchet MS" w:cs="Trebuchet MS" w:eastAsia="Trebuchet MS"/>
          <w:b/>
          <w:i w:val="0"/>
          <w:color w:val="000000"/>
          <w:sz w:val="32"/>
        </w:rPr>
        <w:t>4. D - DEFINE PHASE</w:t>
      </w:r>
    </w:p>
    <w:p>
      <w:pPr>
        <w:spacing w:before="160" w:after="40"/>
        <w:jc w:val="left"/>
      </w:pPr>
      <w:r>
        <w:rPr>
          <w:rFonts w:ascii="Trebuchet MS" w:hAnsi="Trebuchet MS" w:cs="Trebuchet MS" w:eastAsia="Trebuchet MS"/>
          <w:b/>
          <w:i w:val="0"/>
          <w:color w:val="000000"/>
          <w:sz w:val="24"/>
        </w:rPr>
        <w:t>4.1 Critical-to-Quality (CTQ) Metric</w:t>
      </w:r>
    </w:p>
    <w:p>
      <w:pPr>
        <w:spacing w:before="0" w:after="60" w:line="276" w:lineRule="auto"/>
        <w:jc w:val="both"/>
      </w:pPr>
      <w:r>
        <w:rPr>
          <w:rFonts w:ascii="Calibri" w:hAnsi="Calibri" w:cs="Calibri" w:eastAsia="Calibri"/>
          <w:b w:val="0"/>
          <w:i w:val="0"/>
          <w:color w:val="000000"/>
          <w:sz w:val="21"/>
        </w:rPr>
        <w:t>The Critical-to-Quality (CTQ) metric directly reflects customer requirements and operational success criteria. For this project:</w:t>
      </w:r>
    </w:p>
    <w:p>
      <w:pPr>
        <w:pStyle w:val="ListBullet"/>
        <w:spacing w:before="0" w:after="40" w:line="276" w:lineRule="auto"/>
        <w:jc w:val="left"/>
      </w:pPr>
      <w:r>
        <w:rPr>
          <w:rFonts w:ascii="Calibri" w:hAnsi="Calibri" w:cs="Calibri" w:eastAsia="Calibri"/>
          <w:b w:val="0"/>
          <w:i w:val="0"/>
          <w:color w:val="000000"/>
          <w:sz w:val="20"/>
        </w:rPr>
        <w:t>PRIMARY CTQ: Monthly Member Churn Rate = (Members Lost) / (Total Active at Start) x 100%</w:t>
      </w:r>
    </w:p>
    <w:p>
      <w:pPr>
        <w:pStyle w:val="ListBullet"/>
        <w:spacing w:before="0" w:after="40" w:line="276" w:lineRule="auto"/>
        <w:jc w:val="left"/>
      </w:pPr>
      <w:r>
        <w:rPr>
          <w:rFonts w:ascii="Calibri" w:hAnsi="Calibri" w:cs="Calibri" w:eastAsia="Calibri"/>
          <w:b w:val="0"/>
          <w:i w:val="0"/>
          <w:color w:val="000000"/>
          <w:sz w:val="20"/>
        </w:rPr>
        <w:t>SECONDARY CTQ: Member Renewal Rate = (Members Renewed) / (Members Eligible) x 100%</w:t>
      </w:r>
    </w:p>
    <w:p>
      <w:pPr>
        <w:pStyle w:val="ListBullet"/>
        <w:spacing w:before="0" w:after="40" w:line="276" w:lineRule="auto"/>
        <w:jc w:val="left"/>
      </w:pPr>
      <w:r>
        <w:rPr>
          <w:rFonts w:ascii="Calibri" w:hAnsi="Calibri" w:cs="Calibri" w:eastAsia="Calibri"/>
          <w:b w:val="0"/>
          <w:i w:val="0"/>
          <w:color w:val="000000"/>
          <w:sz w:val="20"/>
        </w:rPr>
        <w:t>TARGET: Reduce monthly churn from baseline ~27% to below 15%</w:t>
      </w:r>
    </w:p>
    <w:p>
      <w:pPr>
        <w:pStyle w:val="ListBullet"/>
        <w:spacing w:before="0" w:after="40" w:line="276" w:lineRule="auto"/>
        <w:jc w:val="left"/>
      </w:pPr>
      <w:r>
        <w:rPr>
          <w:rFonts w:ascii="Calibri" w:hAnsi="Calibri" w:cs="Calibri" w:eastAsia="Calibri"/>
          <w:b w:val="0"/>
          <w:i w:val="0"/>
          <w:color w:val="000000"/>
          <w:sz w:val="20"/>
        </w:rPr>
        <w:t>DEFECT: Any member who does not renew upon plan expiry is counted as one defect</w:t>
      </w:r>
    </w:p>
    <w:p>
      <w:pPr>
        <w:spacing w:before="160" w:after="40"/>
        <w:jc w:val="left"/>
      </w:pPr>
      <w:r>
        <w:rPr>
          <w:rFonts w:ascii="Trebuchet MS" w:hAnsi="Trebuchet MS" w:cs="Trebuchet MS" w:eastAsia="Trebuchet MS"/>
          <w:b/>
          <w:i w:val="0"/>
          <w:color w:val="000000"/>
          <w:sz w:val="24"/>
        </w:rPr>
        <w:t>4.2 Project Charter</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4706"/>
        <w:gridCol w:w="4706"/>
      </w:tblGrid>
      <w:tr>
        <w:tc>
          <w:tcPr>
            <w:tcW w:type="dxa" w:w="2880"/>
            <w:shd w:val="clear" w:color="auto" w:fill="000000"/>
          </w:tcPr>
          <w:p>
            <w:pPr>
              <w:spacing w:before="60" w:after="60"/>
              <w:jc w:val="center"/>
            </w:pPr>
            <w:r/>
            <w:r>
              <w:rPr>
                <w:rFonts w:ascii="Trebuchet MS" w:hAnsi="Trebuchet MS" w:cs="Trebuchet MS" w:eastAsia="Trebuchet MS"/>
                <w:b/>
                <w:i w:val="0"/>
                <w:color w:val="FFFFFF"/>
                <w:sz w:val="18"/>
              </w:rPr>
              <w:t>Element</w:t>
            </w:r>
          </w:p>
        </w:tc>
        <w:tc>
          <w:tcPr>
            <w:tcW w:type="dxa" w:w="6624"/>
            <w:shd w:val="clear" w:color="auto" w:fill="000000"/>
          </w:tcPr>
          <w:p>
            <w:pPr>
              <w:spacing w:before="60" w:after="60"/>
              <w:jc w:val="center"/>
            </w:pPr>
            <w:r/>
            <w:r>
              <w:rPr>
                <w:rFonts w:ascii="Trebuchet MS" w:hAnsi="Trebuchet MS" w:cs="Trebuchet MS" w:eastAsia="Trebuchet MS"/>
                <w:b/>
                <w:i w:val="0"/>
                <w:color w:val="FFFFFF"/>
                <w:sz w:val="18"/>
              </w:rPr>
              <w:t>Details</w:t>
            </w:r>
          </w:p>
        </w:tc>
      </w:tr>
      <w:tr>
        <w:tc>
          <w:tcPr>
            <w:tcW w:type="dxa" w:w="2880"/>
            <w:shd w:val="clear" w:color="auto" w:fill="F8F9FA"/>
          </w:tcPr>
          <w:p>
            <w:pPr>
              <w:spacing w:before="40" w:after="40" w:line="264" w:lineRule="auto"/>
              <w:jc w:val="left"/>
            </w:pPr>
            <w:r/>
            <w:r>
              <w:rPr>
                <w:rFonts w:ascii="Calibri" w:hAnsi="Calibri" w:cs="Calibri" w:eastAsia="Calibri"/>
                <w:b w:val="0"/>
                <w:i w:val="0"/>
                <w:color w:val="000000"/>
                <w:sz w:val="17"/>
              </w:rPr>
              <w:t>Project Title</w:t>
            </w:r>
          </w:p>
        </w:tc>
        <w:tc>
          <w:tcPr>
            <w:tcW w:type="dxa" w:w="6624"/>
            <w:shd w:val="clear" w:color="auto" w:fill="F8F9FA"/>
          </w:tcPr>
          <w:p>
            <w:pPr>
              <w:spacing w:before="40" w:after="40" w:line="264" w:lineRule="auto"/>
              <w:jc w:val="left"/>
            </w:pPr>
            <w:r/>
            <w:r>
              <w:rPr>
                <w:rFonts w:ascii="Calibri" w:hAnsi="Calibri" w:cs="Calibri" w:eastAsia="Calibri"/>
                <w:b w:val="0"/>
                <w:i w:val="0"/>
                <w:color w:val="000000"/>
                <w:sz w:val="17"/>
              </w:rPr>
              <w:t>Improving Member Retention - Ultimate Fitness Centre (DMAIC)</w:t>
            </w:r>
          </w:p>
        </w:tc>
      </w:tr>
      <w:tr>
        <w:tc>
          <w:tcPr>
            <w:tcW w:type="dxa" w:w="2880"/>
            <w:shd w:val="clear" w:color="auto" w:fill="FFFFFF"/>
          </w:tcPr>
          <w:p>
            <w:pPr>
              <w:spacing w:before="40" w:after="40" w:line="264" w:lineRule="auto"/>
              <w:jc w:val="left"/>
            </w:pPr>
            <w:r/>
            <w:r>
              <w:rPr>
                <w:rFonts w:ascii="Calibri" w:hAnsi="Calibri" w:cs="Calibri" w:eastAsia="Calibri"/>
                <w:b w:val="0"/>
                <w:i w:val="0"/>
                <w:color w:val="000000"/>
                <w:sz w:val="17"/>
              </w:rPr>
              <w:t>Business Case</w:t>
            </w:r>
          </w:p>
        </w:tc>
        <w:tc>
          <w:tcPr>
            <w:tcW w:type="dxa" w:w="6624"/>
            <w:shd w:val="clear" w:color="auto" w:fill="FFFFFF"/>
          </w:tcPr>
          <w:p>
            <w:pPr>
              <w:spacing w:before="40" w:after="40" w:line="264" w:lineRule="auto"/>
              <w:jc w:val="left"/>
            </w:pPr>
            <w:r/>
            <w:r>
              <w:rPr>
                <w:rFonts w:ascii="Calibri" w:hAnsi="Calibri" w:cs="Calibri" w:eastAsia="Calibri"/>
                <w:b w:val="0"/>
                <w:i w:val="0"/>
                <w:color w:val="000000"/>
                <w:sz w:val="17"/>
              </w:rPr>
              <w:t>High member churn (~27%/month) reduces revenue and increases acquisition costs</w:t>
            </w:r>
          </w:p>
        </w:tc>
      </w:tr>
      <w:tr>
        <w:tc>
          <w:tcPr>
            <w:tcW w:type="dxa" w:w="2880"/>
            <w:shd w:val="clear" w:color="auto" w:fill="F8F9FA"/>
          </w:tcPr>
          <w:p>
            <w:pPr>
              <w:spacing w:before="40" w:after="40" w:line="264" w:lineRule="auto"/>
              <w:jc w:val="left"/>
            </w:pPr>
            <w:r/>
            <w:r>
              <w:rPr>
                <w:rFonts w:ascii="Calibri" w:hAnsi="Calibri" w:cs="Calibri" w:eastAsia="Calibri"/>
                <w:b w:val="0"/>
                <w:i w:val="0"/>
                <w:color w:val="000000"/>
                <w:sz w:val="17"/>
              </w:rPr>
              <w:t>Problem Statement</w:t>
            </w:r>
          </w:p>
        </w:tc>
        <w:tc>
          <w:tcPr>
            <w:tcW w:type="dxa" w:w="6624"/>
            <w:shd w:val="clear" w:color="auto" w:fill="F8F9FA"/>
          </w:tcPr>
          <w:p>
            <w:pPr>
              <w:spacing w:before="40" w:after="40" w:line="264" w:lineRule="auto"/>
              <w:jc w:val="left"/>
            </w:pPr>
            <w:r/>
            <w:r>
              <w:rPr>
                <w:rFonts w:ascii="Calibri" w:hAnsi="Calibri" w:cs="Calibri" w:eastAsia="Calibri"/>
                <w:b w:val="0"/>
                <w:i w:val="0"/>
                <w:color w:val="000000"/>
                <w:sz w:val="17"/>
              </w:rPr>
              <w:t>Member churn exceeds 25%, driven by plan type, poor engagement, and dissatisfaction</w:t>
            </w:r>
          </w:p>
        </w:tc>
      </w:tr>
      <w:tr>
        <w:tc>
          <w:tcPr>
            <w:tcW w:type="dxa" w:w="2880"/>
            <w:shd w:val="clear" w:color="auto" w:fill="FFFFFF"/>
          </w:tcPr>
          <w:p>
            <w:pPr>
              <w:spacing w:before="40" w:after="40" w:line="264" w:lineRule="auto"/>
              <w:jc w:val="left"/>
            </w:pPr>
            <w:r/>
            <w:r>
              <w:rPr>
                <w:rFonts w:ascii="Calibri" w:hAnsi="Calibri" w:cs="Calibri" w:eastAsia="Calibri"/>
                <w:b w:val="0"/>
                <w:i w:val="0"/>
                <w:color w:val="000000"/>
                <w:sz w:val="17"/>
              </w:rPr>
              <w:t>Project Goal</w:t>
            </w:r>
          </w:p>
        </w:tc>
        <w:tc>
          <w:tcPr>
            <w:tcW w:type="dxa" w:w="6624"/>
            <w:shd w:val="clear" w:color="auto" w:fill="FFFFFF"/>
          </w:tcPr>
          <w:p>
            <w:pPr>
              <w:spacing w:before="40" w:after="40" w:line="264" w:lineRule="auto"/>
              <w:jc w:val="left"/>
            </w:pPr>
            <w:r/>
            <w:r>
              <w:rPr>
                <w:rFonts w:ascii="Calibri" w:hAnsi="Calibri" w:cs="Calibri" w:eastAsia="Calibri"/>
                <w:b w:val="0"/>
                <w:i w:val="0"/>
                <w:color w:val="000000"/>
                <w:sz w:val="17"/>
              </w:rPr>
              <w:t>Reduce monthly churn from 27% to below 15% within 6 months of implementation</w:t>
            </w:r>
          </w:p>
        </w:tc>
      </w:tr>
      <w:tr>
        <w:tc>
          <w:tcPr>
            <w:tcW w:type="dxa" w:w="2880"/>
            <w:shd w:val="clear" w:color="auto" w:fill="F8F9FA"/>
          </w:tcPr>
          <w:p>
            <w:pPr>
              <w:spacing w:before="40" w:after="40" w:line="264" w:lineRule="auto"/>
              <w:jc w:val="left"/>
            </w:pPr>
            <w:r/>
            <w:r>
              <w:rPr>
                <w:rFonts w:ascii="Calibri" w:hAnsi="Calibri" w:cs="Calibri" w:eastAsia="Calibri"/>
                <w:b w:val="0"/>
                <w:i w:val="0"/>
                <w:color w:val="000000"/>
                <w:sz w:val="17"/>
              </w:rPr>
              <w:t>Project Scope</w:t>
            </w:r>
          </w:p>
        </w:tc>
        <w:tc>
          <w:tcPr>
            <w:tcW w:type="dxa" w:w="6624"/>
            <w:shd w:val="clear" w:color="auto" w:fill="F8F9FA"/>
          </w:tcPr>
          <w:p>
            <w:pPr>
              <w:spacing w:before="40" w:after="40" w:line="264" w:lineRule="auto"/>
              <w:jc w:val="left"/>
            </w:pPr>
            <w:r/>
            <w:r>
              <w:rPr>
                <w:rFonts w:ascii="Calibri" w:hAnsi="Calibri" w:cs="Calibri" w:eastAsia="Calibri"/>
                <w:b w:val="0"/>
                <w:i w:val="0"/>
                <w:color w:val="000000"/>
                <w:sz w:val="17"/>
              </w:rPr>
              <w:t>All active and churned members; Monthly, Quarterly, and Annual plan types</w:t>
            </w:r>
          </w:p>
        </w:tc>
      </w:tr>
      <w:tr>
        <w:tc>
          <w:tcPr>
            <w:tcW w:type="dxa" w:w="2880"/>
            <w:shd w:val="clear" w:color="auto" w:fill="FFFFFF"/>
          </w:tcPr>
          <w:p>
            <w:pPr>
              <w:spacing w:before="40" w:after="40" w:line="264" w:lineRule="auto"/>
              <w:jc w:val="left"/>
            </w:pPr>
            <w:r/>
            <w:r>
              <w:rPr>
                <w:rFonts w:ascii="Calibri" w:hAnsi="Calibri" w:cs="Calibri" w:eastAsia="Calibri"/>
                <w:b w:val="0"/>
                <w:i w:val="0"/>
                <w:color w:val="000000"/>
                <w:sz w:val="17"/>
              </w:rPr>
              <w:t>CTQ Metric</w:t>
            </w:r>
          </w:p>
        </w:tc>
        <w:tc>
          <w:tcPr>
            <w:tcW w:type="dxa" w:w="6624"/>
            <w:shd w:val="clear" w:color="auto" w:fill="FFFFFF"/>
          </w:tcPr>
          <w:p>
            <w:pPr>
              <w:spacing w:before="40" w:after="40" w:line="264" w:lineRule="auto"/>
              <w:jc w:val="left"/>
            </w:pPr>
            <w:r/>
            <w:r>
              <w:rPr>
                <w:rFonts w:ascii="Calibri" w:hAnsi="Calibri" w:cs="Calibri" w:eastAsia="Calibri"/>
                <w:b w:val="0"/>
                <w:i w:val="0"/>
                <w:color w:val="000000"/>
                <w:sz w:val="17"/>
              </w:rPr>
              <w:t>Monthly Churn Rate (%) and Member Renewal Rate (%)</w:t>
            </w:r>
          </w:p>
        </w:tc>
      </w:tr>
      <w:tr>
        <w:tc>
          <w:tcPr>
            <w:tcW w:type="dxa" w:w="2880"/>
            <w:shd w:val="clear" w:color="auto" w:fill="F8F9FA"/>
          </w:tcPr>
          <w:p>
            <w:pPr>
              <w:spacing w:before="40" w:after="40" w:line="264" w:lineRule="auto"/>
              <w:jc w:val="left"/>
            </w:pPr>
            <w:r/>
            <w:r>
              <w:rPr>
                <w:rFonts w:ascii="Calibri" w:hAnsi="Calibri" w:cs="Calibri" w:eastAsia="Calibri"/>
                <w:b w:val="0"/>
                <w:i w:val="0"/>
                <w:color w:val="000000"/>
                <w:sz w:val="17"/>
              </w:rPr>
              <w:t>Team Members</w:t>
            </w:r>
          </w:p>
        </w:tc>
        <w:tc>
          <w:tcPr>
            <w:tcW w:type="dxa" w:w="6624"/>
            <w:shd w:val="clear" w:color="auto" w:fill="F8F9FA"/>
          </w:tcPr>
          <w:p>
            <w:pPr>
              <w:spacing w:before="40" w:after="40" w:line="264" w:lineRule="auto"/>
              <w:jc w:val="left"/>
            </w:pPr>
            <w:r/>
            <w:r>
              <w:rPr>
                <w:rFonts w:ascii="Calibri" w:hAnsi="Calibri" w:cs="Calibri" w:eastAsia="Calibri"/>
                <w:b w:val="0"/>
                <w:i w:val="0"/>
                <w:color w:val="000000"/>
                <w:sz w:val="17"/>
              </w:rPr>
              <w:t>Gladwin Daniel P, Karthikeyan A</w:t>
            </w:r>
          </w:p>
        </w:tc>
      </w:tr>
      <w:tr>
        <w:tc>
          <w:tcPr>
            <w:tcW w:type="dxa" w:w="2880"/>
            <w:shd w:val="clear" w:color="auto" w:fill="FFFFFF"/>
          </w:tcPr>
          <w:p>
            <w:pPr>
              <w:spacing w:before="40" w:after="40" w:line="264" w:lineRule="auto"/>
              <w:jc w:val="left"/>
            </w:pPr>
            <w:r/>
            <w:r>
              <w:rPr>
                <w:rFonts w:ascii="Calibri" w:hAnsi="Calibri" w:cs="Calibri" w:eastAsia="Calibri"/>
                <w:b w:val="0"/>
                <w:i w:val="0"/>
                <w:color w:val="000000"/>
                <w:sz w:val="17"/>
              </w:rPr>
              <w:t>Faculty Guide</w:t>
            </w:r>
          </w:p>
        </w:tc>
        <w:tc>
          <w:tcPr>
            <w:tcW w:type="dxa" w:w="6624"/>
            <w:shd w:val="clear" w:color="auto" w:fill="FFFFFF"/>
          </w:tcPr>
          <w:p>
            <w:pPr>
              <w:spacing w:before="40" w:after="40" w:line="264" w:lineRule="auto"/>
              <w:jc w:val="left"/>
            </w:pPr>
            <w:r/>
            <w:r>
              <w:rPr>
                <w:rFonts w:ascii="Calibri" w:hAnsi="Calibri" w:cs="Calibri" w:eastAsia="Calibri"/>
                <w:b w:val="0"/>
                <w:i w:val="0"/>
                <w:color w:val="000000"/>
                <w:sz w:val="17"/>
              </w:rPr>
              <w:t>Dr. Vadivel SM</w:t>
            </w:r>
          </w:p>
        </w:tc>
      </w:tr>
      <w:tr>
        <w:tc>
          <w:tcPr>
            <w:tcW w:type="dxa" w:w="2880"/>
            <w:shd w:val="clear" w:color="auto" w:fill="F8F9FA"/>
          </w:tcPr>
          <w:p>
            <w:pPr>
              <w:spacing w:before="40" w:after="40" w:line="264" w:lineRule="auto"/>
              <w:jc w:val="left"/>
            </w:pPr>
            <w:r/>
            <w:r>
              <w:rPr>
                <w:rFonts w:ascii="Calibri" w:hAnsi="Calibri" w:cs="Calibri" w:eastAsia="Calibri"/>
                <w:b w:val="0"/>
                <w:i w:val="0"/>
                <w:color w:val="000000"/>
                <w:sz w:val="17"/>
              </w:rPr>
              <w:t>Timeline</w:t>
            </w:r>
          </w:p>
        </w:tc>
        <w:tc>
          <w:tcPr>
            <w:tcW w:type="dxa" w:w="6624"/>
            <w:shd w:val="clear" w:color="auto" w:fill="F8F9FA"/>
          </w:tcPr>
          <w:p>
            <w:pPr>
              <w:spacing w:before="40" w:after="40" w:line="264" w:lineRule="auto"/>
              <w:jc w:val="left"/>
            </w:pPr>
            <w:r/>
            <w:r>
              <w:rPr>
                <w:rFonts w:ascii="Calibri" w:hAnsi="Calibri" w:cs="Calibri" w:eastAsia="Calibri"/>
                <w:b w:val="0"/>
                <w:i w:val="0"/>
                <w:color w:val="000000"/>
                <w:sz w:val="17"/>
              </w:rPr>
              <w:t>6 months (3 months DMAIC + 3 months post-implementation monitoring)</w:t>
            </w:r>
          </w:p>
        </w:tc>
      </w:tr>
      <w:tr>
        <w:tc>
          <w:tcPr>
            <w:tcW w:type="dxa" w:w="2880"/>
            <w:shd w:val="clear" w:color="auto" w:fill="FFFFFF"/>
          </w:tcPr>
          <w:p>
            <w:pPr>
              <w:spacing w:before="40" w:after="40" w:line="264" w:lineRule="auto"/>
              <w:jc w:val="left"/>
            </w:pPr>
            <w:r/>
            <w:r>
              <w:rPr>
                <w:rFonts w:ascii="Calibri" w:hAnsi="Calibri" w:cs="Calibri" w:eastAsia="Calibri"/>
                <w:b w:val="0"/>
                <w:i w:val="0"/>
                <w:color w:val="000000"/>
                <w:sz w:val="17"/>
              </w:rPr>
              <w:t>Expected Benefits</w:t>
            </w:r>
          </w:p>
        </w:tc>
        <w:tc>
          <w:tcPr>
            <w:tcW w:type="dxa" w:w="6624"/>
            <w:shd w:val="clear" w:color="auto" w:fill="FFFFFF"/>
          </w:tcPr>
          <w:p>
            <w:pPr>
              <w:spacing w:before="40" w:after="40" w:line="264" w:lineRule="auto"/>
              <w:jc w:val="left"/>
            </w:pPr>
            <w:r/>
            <w:r>
              <w:rPr>
                <w:rFonts w:ascii="Calibri" w:hAnsi="Calibri" w:cs="Calibri" w:eastAsia="Calibri"/>
                <w:b w:val="0"/>
                <w:i w:val="0"/>
                <w:color w:val="000000"/>
                <w:sz w:val="17"/>
              </w:rPr>
              <w:t>&gt;25% churn reduction; improved member satisfaction; higher lifetime value</w:t>
            </w:r>
          </w:p>
        </w:tc>
      </w:tr>
    </w:tbl>
    <w:p>
      <w:pPr>
        <w:spacing w:before="160" w:after="40"/>
        <w:jc w:val="left"/>
      </w:pPr>
      <w:r>
        <w:rPr>
          <w:rFonts w:ascii="Trebuchet MS" w:hAnsi="Trebuchet MS" w:cs="Trebuchet MS" w:eastAsia="Trebuchet MS"/>
          <w:b/>
          <w:i w:val="0"/>
          <w:color w:val="000000"/>
          <w:sz w:val="24"/>
        </w:rPr>
        <w:t>4.3 SIPOC Diagram</w:t>
      </w:r>
    </w:p>
    <w:p>
      <w:pPr>
        <w:spacing w:before="0" w:after="60" w:line="276" w:lineRule="auto"/>
        <w:jc w:val="both"/>
      </w:pPr>
      <w:r>
        <w:rPr>
          <w:rFonts w:ascii="Calibri" w:hAnsi="Calibri" w:cs="Calibri" w:eastAsia="Calibri"/>
          <w:b w:val="0"/>
          <w:i w:val="0"/>
          <w:color w:val="000000"/>
          <w:sz w:val="21"/>
        </w:rPr>
        <w:t>The SIPOC maps the end-to-end membership process boundaries: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1882"/>
        <w:gridCol w:w="1882"/>
        <w:gridCol w:w="1882"/>
        <w:gridCol w:w="1882"/>
        <w:gridCol w:w="1882"/>
      </w:tblGrid>
      <w:tr>
        <w:tc>
          <w:tcPr>
            <w:tcW w:type="dxa" w:w="1882"/>
            <w:shd w:val="clear" w:color="auto" w:fill="000000"/>
          </w:tcPr>
          <w:p>
            <w:pPr>
              <w:spacing w:before="60" w:after="60"/>
              <w:jc w:val="center"/>
            </w:pPr>
            <w:r/>
            <w:r>
              <w:rPr>
                <w:rFonts w:ascii="Trebuchet MS" w:hAnsi="Trebuchet MS" w:cs="Trebuchet MS" w:eastAsia="Trebuchet MS"/>
                <w:b/>
                <w:i w:val="0"/>
                <w:color w:val="FFFFFF"/>
                <w:sz w:val="18"/>
              </w:rPr>
              <w:t>Suppliers</w:t>
            </w:r>
          </w:p>
        </w:tc>
        <w:tc>
          <w:tcPr>
            <w:tcW w:type="dxa" w:w="1882"/>
            <w:shd w:val="clear" w:color="auto" w:fill="000000"/>
          </w:tcPr>
          <w:p>
            <w:pPr>
              <w:spacing w:before="60" w:after="60"/>
              <w:jc w:val="center"/>
            </w:pPr>
            <w:r/>
            <w:r>
              <w:rPr>
                <w:rFonts w:ascii="Trebuchet MS" w:hAnsi="Trebuchet MS" w:cs="Trebuchet MS" w:eastAsia="Trebuchet MS"/>
                <w:b/>
                <w:i w:val="0"/>
                <w:color w:val="FFFFFF"/>
                <w:sz w:val="18"/>
              </w:rPr>
              <w:t>Inputs</w:t>
            </w:r>
          </w:p>
        </w:tc>
        <w:tc>
          <w:tcPr>
            <w:tcW w:type="dxa" w:w="1882"/>
            <w:shd w:val="clear" w:color="auto" w:fill="000000"/>
          </w:tcPr>
          <w:p>
            <w:pPr>
              <w:spacing w:before="60" w:after="60"/>
              <w:jc w:val="center"/>
            </w:pPr>
            <w:r/>
            <w:r>
              <w:rPr>
                <w:rFonts w:ascii="Trebuchet MS" w:hAnsi="Trebuchet MS" w:cs="Trebuchet MS" w:eastAsia="Trebuchet MS"/>
                <w:b/>
                <w:i w:val="0"/>
                <w:color w:val="FFFFFF"/>
                <w:sz w:val="18"/>
              </w:rPr>
              <w:t>Process Steps</w:t>
            </w:r>
          </w:p>
        </w:tc>
        <w:tc>
          <w:tcPr>
            <w:tcW w:type="dxa" w:w="1882"/>
            <w:shd w:val="clear" w:color="auto" w:fill="000000"/>
          </w:tcPr>
          <w:p>
            <w:pPr>
              <w:spacing w:before="60" w:after="60"/>
              <w:jc w:val="center"/>
            </w:pPr>
            <w:r/>
            <w:r>
              <w:rPr>
                <w:rFonts w:ascii="Trebuchet MS" w:hAnsi="Trebuchet MS" w:cs="Trebuchet MS" w:eastAsia="Trebuchet MS"/>
                <w:b/>
                <w:i w:val="0"/>
                <w:color w:val="FFFFFF"/>
                <w:sz w:val="18"/>
              </w:rPr>
              <w:t>Outputs</w:t>
            </w:r>
          </w:p>
        </w:tc>
        <w:tc>
          <w:tcPr>
            <w:tcW w:type="dxa" w:w="1882"/>
            <w:shd w:val="clear" w:color="auto" w:fill="000000"/>
          </w:tcPr>
          <w:p>
            <w:pPr>
              <w:spacing w:before="60" w:after="60"/>
              <w:jc w:val="center"/>
            </w:pPr>
            <w:r/>
            <w:r>
              <w:rPr>
                <w:rFonts w:ascii="Trebuchet MS" w:hAnsi="Trebuchet MS" w:cs="Trebuchet MS" w:eastAsia="Trebuchet MS"/>
                <w:b/>
                <w:i w:val="0"/>
                <w:color w:val="FFFFFF"/>
                <w:sz w:val="18"/>
              </w:rPr>
              <w:t>Customers</w:t>
            </w:r>
          </w:p>
        </w:tc>
      </w:tr>
      <w:tr>
        <w:tc>
          <w:tcPr>
            <w:tcW w:type="dxa" w:w="1882"/>
            <w:shd w:val="clear" w:color="auto" w:fill="F8F9FA"/>
          </w:tcPr>
          <w:p>
            <w:pPr>
              <w:spacing w:before="40" w:after="40" w:line="264" w:lineRule="auto"/>
              <w:jc w:val="left"/>
            </w:pPr>
            <w:r/>
            <w:r>
              <w:rPr>
                <w:rFonts w:ascii="Calibri" w:hAnsi="Calibri" w:cs="Calibri" w:eastAsia="Calibri"/>
                <w:b w:val="0"/>
                <w:i w:val="0"/>
                <w:color w:val="000000"/>
                <w:sz w:val="17"/>
              </w:rPr>
              <w:t>Equipment Vendors</w:t>
            </w:r>
          </w:p>
        </w:tc>
        <w:tc>
          <w:tcPr>
            <w:tcW w:type="dxa" w:w="1882"/>
            <w:shd w:val="clear" w:color="auto" w:fill="F8F9FA"/>
          </w:tcPr>
          <w:p>
            <w:pPr>
              <w:spacing w:before="40" w:after="40" w:line="264" w:lineRule="auto"/>
              <w:jc w:val="left"/>
            </w:pPr>
            <w:r/>
            <w:r>
              <w:rPr>
                <w:rFonts w:ascii="Calibri" w:hAnsi="Calibri" w:cs="Calibri" w:eastAsia="Calibri"/>
                <w:b w:val="0"/>
                <w:i w:val="0"/>
                <w:color w:val="000000"/>
                <w:sz w:val="17"/>
              </w:rPr>
              <w:t>New Member Applications</w:t>
            </w:r>
          </w:p>
        </w:tc>
        <w:tc>
          <w:tcPr>
            <w:tcW w:type="dxa" w:w="1882"/>
            <w:shd w:val="clear" w:color="auto" w:fill="F8F9FA"/>
          </w:tcPr>
          <w:p>
            <w:pPr>
              <w:spacing w:before="40" w:after="40" w:line="264" w:lineRule="auto"/>
              <w:jc w:val="left"/>
            </w:pPr>
            <w:r/>
            <w:r>
              <w:rPr>
                <w:rFonts w:ascii="Calibri" w:hAnsi="Calibri" w:cs="Calibri" w:eastAsia="Calibri"/>
                <w:b w:val="0"/>
                <w:i w:val="0"/>
                <w:color w:val="000000"/>
                <w:sz w:val="17"/>
              </w:rPr>
              <w:t>Member Onboarding</w:t>
            </w:r>
          </w:p>
        </w:tc>
        <w:tc>
          <w:tcPr>
            <w:tcW w:type="dxa" w:w="1882"/>
            <w:shd w:val="clear" w:color="auto" w:fill="F8F9FA"/>
          </w:tcPr>
          <w:p>
            <w:pPr>
              <w:spacing w:before="40" w:after="40" w:line="264" w:lineRule="auto"/>
              <w:jc w:val="left"/>
            </w:pPr>
            <w:r/>
            <w:r>
              <w:rPr>
                <w:rFonts w:ascii="Calibri" w:hAnsi="Calibri" w:cs="Calibri" w:eastAsia="Calibri"/>
                <w:b w:val="0"/>
                <w:i w:val="0"/>
                <w:color w:val="000000"/>
                <w:sz w:val="17"/>
              </w:rPr>
              <w:t>Oriented Members</w:t>
            </w:r>
          </w:p>
        </w:tc>
        <w:tc>
          <w:tcPr>
            <w:tcW w:type="dxa" w:w="1882"/>
            <w:shd w:val="clear" w:color="auto" w:fill="F8F9FA"/>
          </w:tcPr>
          <w:p>
            <w:pPr>
              <w:spacing w:before="40" w:after="40" w:line="264" w:lineRule="auto"/>
              <w:jc w:val="left"/>
            </w:pPr>
            <w:r/>
            <w:r>
              <w:rPr>
                <w:rFonts w:ascii="Calibri" w:hAnsi="Calibri" w:cs="Calibri" w:eastAsia="Calibri"/>
                <w:b w:val="0"/>
                <w:i w:val="0"/>
                <w:color w:val="000000"/>
                <w:sz w:val="17"/>
              </w:rPr>
              <w:t>Gym Members</w:t>
            </w:r>
          </w:p>
        </w:tc>
      </w:tr>
      <w:tr>
        <w:tc>
          <w:tcPr>
            <w:tcW w:type="dxa" w:w="1882"/>
            <w:shd w:val="clear" w:color="auto" w:fill="FFFFFF"/>
          </w:tcPr>
          <w:p>
            <w:pPr>
              <w:spacing w:before="40" w:after="40" w:line="264" w:lineRule="auto"/>
              <w:jc w:val="left"/>
            </w:pPr>
            <w:r/>
            <w:r>
              <w:rPr>
                <w:rFonts w:ascii="Calibri" w:hAnsi="Calibri" w:cs="Calibri" w:eastAsia="Calibri"/>
                <w:b w:val="0"/>
                <w:i w:val="0"/>
                <w:color w:val="000000"/>
                <w:sz w:val="17"/>
              </w:rPr>
              <w:t>Trainers &amp; Coaches</w:t>
            </w:r>
          </w:p>
        </w:tc>
        <w:tc>
          <w:tcPr>
            <w:tcW w:type="dxa" w:w="1882"/>
            <w:shd w:val="clear" w:color="auto" w:fill="FFFFFF"/>
          </w:tcPr>
          <w:p>
            <w:pPr>
              <w:spacing w:before="40" w:after="40" w:line="264" w:lineRule="auto"/>
              <w:jc w:val="left"/>
            </w:pPr>
            <w:r/>
            <w:r>
              <w:rPr>
                <w:rFonts w:ascii="Calibri" w:hAnsi="Calibri" w:cs="Calibri" w:eastAsia="Calibri"/>
                <w:b w:val="0"/>
                <w:i w:val="0"/>
                <w:color w:val="000000"/>
                <w:sz w:val="17"/>
              </w:rPr>
              <w:t>Membership Payments</w:t>
            </w:r>
          </w:p>
        </w:tc>
        <w:tc>
          <w:tcPr>
            <w:tcW w:type="dxa" w:w="1882"/>
            <w:shd w:val="clear" w:color="auto" w:fill="FFFFFF"/>
          </w:tcPr>
          <w:p>
            <w:pPr>
              <w:spacing w:before="40" w:after="40" w:line="264" w:lineRule="auto"/>
              <w:jc w:val="left"/>
            </w:pPr>
            <w:r/>
            <w:r>
              <w:rPr>
                <w:rFonts w:ascii="Calibri" w:hAnsi="Calibri" w:cs="Calibri" w:eastAsia="Calibri"/>
                <w:b w:val="0"/>
                <w:i w:val="0"/>
                <w:color w:val="000000"/>
                <w:sz w:val="17"/>
              </w:rPr>
              <w:t>Plan Selection &amp; Billing</w:t>
            </w:r>
          </w:p>
        </w:tc>
        <w:tc>
          <w:tcPr>
            <w:tcW w:type="dxa" w:w="1882"/>
            <w:shd w:val="clear" w:color="auto" w:fill="FFFFFF"/>
          </w:tcPr>
          <w:p>
            <w:pPr>
              <w:spacing w:before="40" w:after="40" w:line="264" w:lineRule="auto"/>
              <w:jc w:val="left"/>
            </w:pPr>
            <w:r/>
            <w:r>
              <w:rPr>
                <w:rFonts w:ascii="Calibri" w:hAnsi="Calibri" w:cs="Calibri" w:eastAsia="Calibri"/>
                <w:b w:val="0"/>
                <w:i w:val="0"/>
                <w:color w:val="000000"/>
                <w:sz w:val="17"/>
              </w:rPr>
              <w:t>Active Memberships</w:t>
            </w:r>
          </w:p>
        </w:tc>
        <w:tc>
          <w:tcPr>
            <w:tcW w:type="dxa" w:w="1882"/>
            <w:shd w:val="clear" w:color="auto" w:fill="FFFFFF"/>
          </w:tcPr>
          <w:p>
            <w:pPr>
              <w:spacing w:before="40" w:after="40" w:line="264" w:lineRule="auto"/>
              <w:jc w:val="left"/>
            </w:pPr>
            <w:r/>
            <w:r>
              <w:rPr>
                <w:rFonts w:ascii="Calibri" w:hAnsi="Calibri" w:cs="Calibri" w:eastAsia="Calibri"/>
                <w:b w:val="0"/>
                <w:i w:val="0"/>
                <w:color w:val="000000"/>
                <w:sz w:val="17"/>
              </w:rPr>
              <w:t>Prospective Members</w:t>
            </w:r>
          </w:p>
        </w:tc>
      </w:tr>
      <w:tr>
        <w:tc>
          <w:tcPr>
            <w:tcW w:type="dxa" w:w="1882"/>
            <w:shd w:val="clear" w:color="auto" w:fill="F8F9FA"/>
          </w:tcPr>
          <w:p>
            <w:pPr>
              <w:spacing w:before="40" w:after="40" w:line="264" w:lineRule="auto"/>
              <w:jc w:val="left"/>
            </w:pPr>
            <w:r/>
            <w:r>
              <w:rPr>
                <w:rFonts w:ascii="Calibri" w:hAnsi="Calibri" w:cs="Calibri" w:eastAsia="Calibri"/>
                <w:b w:val="0"/>
                <w:i w:val="0"/>
                <w:color w:val="000000"/>
                <w:sz w:val="17"/>
              </w:rPr>
              <w:t>Facility Management</w:t>
            </w:r>
          </w:p>
        </w:tc>
        <w:tc>
          <w:tcPr>
            <w:tcW w:type="dxa" w:w="1882"/>
            <w:shd w:val="clear" w:color="auto" w:fill="F8F9FA"/>
          </w:tcPr>
          <w:p>
            <w:pPr>
              <w:spacing w:before="40" w:after="40" w:line="264" w:lineRule="auto"/>
              <w:jc w:val="left"/>
            </w:pPr>
            <w:r/>
            <w:r>
              <w:rPr>
                <w:rFonts w:ascii="Calibri" w:hAnsi="Calibri" w:cs="Calibri" w:eastAsia="Calibri"/>
                <w:b w:val="0"/>
                <w:i w:val="0"/>
                <w:color w:val="000000"/>
                <w:sz w:val="17"/>
              </w:rPr>
              <w:t>Member Feedback Data</w:t>
            </w:r>
          </w:p>
        </w:tc>
        <w:tc>
          <w:tcPr>
            <w:tcW w:type="dxa" w:w="1882"/>
            <w:shd w:val="clear" w:color="auto" w:fill="F8F9FA"/>
          </w:tcPr>
          <w:p>
            <w:pPr>
              <w:spacing w:before="40" w:after="40" w:line="264" w:lineRule="auto"/>
              <w:jc w:val="left"/>
            </w:pPr>
            <w:r/>
            <w:r>
              <w:rPr>
                <w:rFonts w:ascii="Calibri" w:hAnsi="Calibri" w:cs="Calibri" w:eastAsia="Calibri"/>
                <w:b w:val="0"/>
                <w:i w:val="0"/>
                <w:color w:val="000000"/>
                <w:sz w:val="17"/>
              </w:rPr>
              <w:t>Engagement &amp; Usage</w:t>
            </w:r>
          </w:p>
        </w:tc>
        <w:tc>
          <w:tcPr>
            <w:tcW w:type="dxa" w:w="1882"/>
            <w:shd w:val="clear" w:color="auto" w:fill="F8F9FA"/>
          </w:tcPr>
          <w:p>
            <w:pPr>
              <w:spacing w:before="40" w:after="40" w:line="264" w:lineRule="auto"/>
              <w:jc w:val="left"/>
            </w:pPr>
            <w:r/>
            <w:r>
              <w:rPr>
                <w:rFonts w:ascii="Calibri" w:hAnsi="Calibri" w:cs="Calibri" w:eastAsia="Calibri"/>
                <w:b w:val="0"/>
                <w:i w:val="0"/>
                <w:color w:val="000000"/>
                <w:sz w:val="17"/>
              </w:rPr>
              <w:t>Renewals &amp; Retention</w:t>
            </w:r>
          </w:p>
        </w:tc>
        <w:tc>
          <w:tcPr>
            <w:tcW w:type="dxa" w:w="1882"/>
            <w:shd w:val="clear" w:color="auto" w:fill="F8F9FA"/>
          </w:tcPr>
          <w:p>
            <w:pPr>
              <w:spacing w:before="40" w:after="40" w:line="264" w:lineRule="auto"/>
              <w:jc w:val="left"/>
            </w:pPr>
            <w:r/>
            <w:r>
              <w:rPr>
                <w:rFonts w:ascii="Calibri" w:hAnsi="Calibri" w:cs="Calibri" w:eastAsia="Calibri"/>
                <w:b w:val="0"/>
                <w:i w:val="0"/>
                <w:color w:val="000000"/>
                <w:sz w:val="17"/>
              </w:rPr>
              <w:t>Revenue &amp; Growth</w:t>
            </w:r>
          </w:p>
        </w:tc>
      </w:tr>
      <w:tr>
        <w:tc>
          <w:tcPr>
            <w:tcW w:type="dxa" w:w="1882"/>
            <w:shd w:val="clear" w:color="auto" w:fill="FFFFFF"/>
          </w:tcPr>
          <w:p>
            <w:pPr>
              <w:spacing w:before="40" w:after="40" w:line="264" w:lineRule="auto"/>
              <w:jc w:val="left"/>
            </w:pPr>
            <w:r/>
            <w:r>
              <w:rPr>
                <w:rFonts w:ascii="Calibri" w:hAnsi="Calibri" w:cs="Calibri" w:eastAsia="Calibri"/>
                <w:b w:val="0"/>
                <w:i w:val="0"/>
                <w:color w:val="000000"/>
                <w:sz w:val="17"/>
              </w:rPr>
              <w:t>Marketing Team</w:t>
            </w:r>
          </w:p>
        </w:tc>
        <w:tc>
          <w:tcPr>
            <w:tcW w:type="dxa" w:w="1882"/>
            <w:shd w:val="clear" w:color="auto" w:fill="FFFFFF"/>
          </w:tcPr>
          <w:p>
            <w:pPr>
              <w:spacing w:before="40" w:after="40" w:line="264" w:lineRule="auto"/>
              <w:jc w:val="left"/>
            </w:pPr>
            <w:r/>
            <w:r>
              <w:rPr>
                <w:rFonts w:ascii="Calibri" w:hAnsi="Calibri" w:cs="Calibri" w:eastAsia="Calibri"/>
                <w:b w:val="0"/>
                <w:i w:val="0"/>
                <w:color w:val="000000"/>
                <w:sz w:val="17"/>
              </w:rPr>
              <w:t>Attendance Data</w:t>
            </w:r>
          </w:p>
        </w:tc>
        <w:tc>
          <w:tcPr>
            <w:tcW w:type="dxa" w:w="1882"/>
            <w:shd w:val="clear" w:color="auto" w:fill="FFFFFF"/>
          </w:tcPr>
          <w:p>
            <w:pPr>
              <w:spacing w:before="40" w:after="40" w:line="264" w:lineRule="auto"/>
              <w:jc w:val="left"/>
            </w:pPr>
            <w:r/>
            <w:r>
              <w:rPr>
                <w:rFonts w:ascii="Calibri" w:hAnsi="Calibri" w:cs="Calibri" w:eastAsia="Calibri"/>
                <w:b w:val="0"/>
                <w:i w:val="0"/>
                <w:color w:val="000000"/>
                <w:sz w:val="17"/>
              </w:rPr>
              <w:t>Performance Tracking</w:t>
            </w:r>
          </w:p>
        </w:tc>
        <w:tc>
          <w:tcPr>
            <w:tcW w:type="dxa" w:w="1882"/>
            <w:shd w:val="clear" w:color="auto" w:fill="FFFFFF"/>
          </w:tcPr>
          <w:p>
            <w:pPr>
              <w:spacing w:before="40" w:after="40" w:line="264" w:lineRule="auto"/>
              <w:jc w:val="left"/>
            </w:pPr>
            <w:r/>
            <w:r>
              <w:rPr>
                <w:rFonts w:ascii="Calibri" w:hAnsi="Calibri" w:cs="Calibri" w:eastAsia="Calibri"/>
                <w:b w:val="0"/>
                <w:i w:val="0"/>
                <w:color w:val="000000"/>
                <w:sz w:val="17"/>
              </w:rPr>
              <w:t>Churn Metrics</w:t>
            </w:r>
          </w:p>
        </w:tc>
        <w:tc>
          <w:tcPr>
            <w:tcW w:type="dxa" w:w="1882"/>
            <w:shd w:val="clear" w:color="auto" w:fill="FFFFFF"/>
          </w:tcPr>
          <w:p>
            <w:pPr>
              <w:spacing w:before="40" w:after="40" w:line="264" w:lineRule="auto"/>
              <w:jc w:val="left"/>
            </w:pPr>
            <w:r/>
            <w:r>
              <w:rPr>
                <w:rFonts w:ascii="Calibri" w:hAnsi="Calibri" w:cs="Calibri" w:eastAsia="Calibri"/>
                <w:b w:val="0"/>
                <w:i w:val="0"/>
                <w:color w:val="000000"/>
                <w:sz w:val="17"/>
              </w:rPr>
              <w:t>Management Reports</w:t>
            </w:r>
          </w:p>
        </w:tc>
      </w:tr>
    </w:tbl>
    <w:p>
      <w:r>
        <w:br w:type="page"/>
      </w:r>
    </w:p>
    <w:p>
      <w:pPr>
        <w:spacing w:before="240" w:after="80"/>
        <w:jc w:val="left"/>
        <w:pBdr>
          <w:bottom w:val="single" w:sz="16" w:space="2" w:color="000000"/>
        </w:pBdr>
      </w:pPr>
      <w:r>
        <w:rPr>
          <w:rFonts w:ascii="Trebuchet MS" w:hAnsi="Trebuchet MS" w:cs="Trebuchet MS" w:eastAsia="Trebuchet MS"/>
          <w:b/>
          <w:i w:val="0"/>
          <w:color w:val="000000"/>
          <w:sz w:val="32"/>
        </w:rPr>
        <w:t>5. M - MEASURE PHASE</w:t>
      </w:r>
    </w:p>
    <w:p>
      <w:pPr>
        <w:spacing w:before="160" w:after="40"/>
        <w:jc w:val="left"/>
      </w:pPr>
      <w:r>
        <w:rPr>
          <w:rFonts w:ascii="Trebuchet MS" w:hAnsi="Trebuchet MS" w:cs="Trebuchet MS" w:eastAsia="Trebuchet MS"/>
          <w:b/>
          <w:i w:val="0"/>
          <w:color w:val="000000"/>
          <w:sz w:val="24"/>
        </w:rPr>
        <w:t>5.1 Baseline Metrics &amp; Data Collection</w:t>
      </w:r>
    </w:p>
    <w:p>
      <w:pPr>
        <w:spacing w:before="0" w:after="60" w:line="276" w:lineRule="auto"/>
        <w:jc w:val="both"/>
      </w:pPr>
      <w:r>
        <w:rPr>
          <w:rFonts w:ascii="Calibri" w:hAnsi="Calibri" w:cs="Calibri" w:eastAsia="Calibri"/>
          <w:b w:val="0"/>
          <w:i w:val="0"/>
          <w:color w:val="000000"/>
          <w:sz w:val="21"/>
        </w:rPr>
        <w:t>The Measure phase established the current state of member churn using historical transaction data. Four datasets were cleaned and unified into members_master_cleaned.csv (475+ records) with a binary churn indicator (Is_Churned=1 for non-renewals).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3137"/>
        <w:gridCol w:w="3137"/>
        <w:gridCol w:w="3137"/>
      </w:tblGrid>
      <w:tr>
        <w:tc>
          <w:tcPr>
            <w:tcW w:type="dxa" w:w="3137"/>
            <w:shd w:val="clear" w:color="auto" w:fill="000000"/>
          </w:tcPr>
          <w:p>
            <w:pPr>
              <w:spacing w:before="60" w:after="60"/>
              <w:jc w:val="center"/>
            </w:pPr>
            <w:r/>
            <w:r>
              <w:rPr>
                <w:rFonts w:ascii="Trebuchet MS" w:hAnsi="Trebuchet MS" w:cs="Trebuchet MS" w:eastAsia="Trebuchet MS"/>
                <w:b/>
                <w:i w:val="0"/>
                <w:color w:val="FFFFFF"/>
                <w:sz w:val="18"/>
              </w:rPr>
              <w:t>Metric</w:t>
            </w:r>
          </w:p>
        </w:tc>
        <w:tc>
          <w:tcPr>
            <w:tcW w:type="dxa" w:w="3137"/>
            <w:shd w:val="clear" w:color="auto" w:fill="000000"/>
          </w:tcPr>
          <w:p>
            <w:pPr>
              <w:spacing w:before="60" w:after="60"/>
              <w:jc w:val="center"/>
            </w:pPr>
            <w:r/>
            <w:r>
              <w:rPr>
                <w:rFonts w:ascii="Trebuchet MS" w:hAnsi="Trebuchet MS" w:cs="Trebuchet MS" w:eastAsia="Trebuchet MS"/>
                <w:b/>
                <w:i w:val="0"/>
                <w:color w:val="FFFFFF"/>
                <w:sz w:val="18"/>
              </w:rPr>
              <w:t>Value</w:t>
            </w:r>
          </w:p>
        </w:tc>
        <w:tc>
          <w:tcPr>
            <w:tcW w:type="dxa" w:w="3137"/>
            <w:shd w:val="clear" w:color="auto" w:fill="000000"/>
          </w:tcPr>
          <w:p>
            <w:pPr>
              <w:spacing w:before="60" w:after="60"/>
              <w:jc w:val="center"/>
            </w:pPr>
            <w:r/>
            <w:r>
              <w:rPr>
                <w:rFonts w:ascii="Trebuchet MS" w:hAnsi="Trebuchet MS" w:cs="Trebuchet MS" w:eastAsia="Trebuchet MS"/>
                <w:b/>
                <w:i w:val="0"/>
                <w:color w:val="FFFFFF"/>
                <w:sz w:val="18"/>
              </w:rPr>
              <w:t>Interpretation</w:t>
            </w:r>
          </w:p>
        </w:tc>
      </w:tr>
      <w:tr>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Total Members Analysed</w:t>
            </w:r>
          </w:p>
        </w:tc>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475+</w:t>
            </w:r>
          </w:p>
        </w:tc>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Complete historical dataset</w:t>
            </w:r>
          </w:p>
        </w:tc>
      </w:tr>
      <w:tr>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Overall Churn Rate</w:t>
            </w:r>
          </w:p>
        </w:tc>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~27% per month</w:t>
            </w:r>
          </w:p>
        </w:tc>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1 in 4 members did not renew</w:t>
            </w:r>
          </w:p>
        </w:tc>
      </w:tr>
      <w:tr>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Monthly Plan Churn Rate</w:t>
            </w:r>
          </w:p>
        </w:tc>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77%</w:t>
            </w:r>
          </w:p>
        </w:tc>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Critically high - short-term commitment gap</w:t>
            </w:r>
          </w:p>
        </w:tc>
      </w:tr>
      <w:tr>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Quarterly Plan Churn Rate</w:t>
            </w:r>
          </w:p>
        </w:tc>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21%</w:t>
            </w:r>
          </w:p>
        </w:tc>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Moderate churn</w:t>
            </w:r>
          </w:p>
        </w:tc>
      </w:tr>
      <w:tr>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Annual Plan Churn Rate</w:t>
            </w:r>
          </w:p>
        </w:tc>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8%</w:t>
            </w:r>
          </w:p>
        </w:tc>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Low churn - strong long-term commitment</w:t>
            </w:r>
          </w:p>
        </w:tc>
      </w:tr>
      <w:tr>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Process Sigma Level</w:t>
            </w:r>
          </w:p>
        </w:tc>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~2.1 sigma</w:t>
            </w:r>
          </w:p>
        </w:tc>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Below industry benchmark of 3 sigma</w:t>
            </w:r>
          </w:p>
        </w:tc>
      </w:tr>
      <w:tr>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Mean Membership Duration</w:t>
            </w:r>
          </w:p>
        </w:tc>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~4.2 months</w:t>
            </w:r>
          </w:p>
        </w:tc>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Short average tenure - early dropout pattern</w:t>
            </w:r>
          </w:p>
        </w:tc>
      </w:tr>
      <w:tr>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Mean Plan Amount</w:t>
            </w:r>
          </w:p>
        </w:tc>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Rs. 1,847</w:t>
            </w:r>
          </w:p>
        </w:tc>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Wide spread - two distinct pricing tiers</w:t>
            </w:r>
          </w:p>
        </w:tc>
      </w:tr>
      <w:tr>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Mean Payment Gap</w:t>
            </w:r>
          </w:p>
        </w:tc>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2.1 days</w:t>
            </w:r>
          </w:p>
        </w:tc>
        <w:tc>
          <w:tcPr>
            <w:tcW w:type="dxa" w:w="3137"/>
            <w:shd w:val="clear" w:color="auto" w:fill="F8F9FA"/>
          </w:tcPr>
          <w:p>
            <w:pPr>
              <w:spacing w:before="40" w:after="40" w:line="264" w:lineRule="auto"/>
              <w:jc w:val="left"/>
            </w:pPr>
            <w:r/>
            <w:r>
              <w:rPr>
                <w:rFonts w:ascii="Calibri" w:hAnsi="Calibri" w:cs="Calibri" w:eastAsia="Calibri"/>
                <w:b w:val="0"/>
                <w:i w:val="0"/>
                <w:color w:val="000000"/>
                <w:sz w:val="17"/>
              </w:rPr>
              <w:t>Payment delays correlated with churn</w:t>
            </w:r>
          </w:p>
        </w:tc>
      </w:tr>
      <w:tr>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DPMO</w:t>
            </w:r>
          </w:p>
        </w:tc>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~272,000</w:t>
            </w:r>
          </w:p>
        </w:tc>
        <w:tc>
          <w:tcPr>
            <w:tcW w:type="dxa" w:w="3137"/>
            <w:shd w:val="clear" w:color="auto" w:fill="FFFFFF"/>
          </w:tcPr>
          <w:p>
            <w:pPr>
              <w:spacing w:before="40" w:after="40" w:line="264" w:lineRule="auto"/>
              <w:jc w:val="left"/>
            </w:pPr>
            <w:r/>
            <w:r>
              <w:rPr>
                <w:rFonts w:ascii="Calibri" w:hAnsi="Calibri" w:cs="Calibri" w:eastAsia="Calibri"/>
                <w:b w:val="0"/>
                <w:i w:val="0"/>
                <w:color w:val="000000"/>
                <w:sz w:val="17"/>
              </w:rPr>
              <w:t>Based on 27.2% monthly churn rate</w:t>
            </w:r>
          </w:p>
        </w:tc>
      </w:tr>
    </w:tbl>
    <w:p>
      <w:pPr>
        <w:spacing w:before="160" w:after="40"/>
        <w:jc w:val="left"/>
      </w:pPr>
      <w:r>
        <w:rPr>
          <w:rFonts w:ascii="Trebuchet MS" w:hAnsi="Trebuchet MS" w:cs="Trebuchet MS" w:eastAsia="Trebuchet MS"/>
          <w:b/>
          <w:i w:val="0"/>
          <w:color w:val="000000"/>
          <w:sz w:val="24"/>
        </w:rPr>
        <w:t>5.2 Baseline Metrics Dashboard</w:t>
      </w:r>
    </w:p>
    <w:p>
      <w:pPr>
        <w:spacing w:before="80" w:after="40"/>
        <w:jc w:val="center"/>
      </w:pPr>
      <w:r>
        <w:drawing>
          <wp:inline xmlns:a="http://schemas.openxmlformats.org/drawingml/2006/main" xmlns:pic="http://schemas.openxmlformats.org/drawingml/2006/picture">
            <wp:extent cx="5120640" cy="1711325"/>
            <wp:docPr id="2" name="Picture 2"/>
            <wp:cNvGraphicFramePr>
              <a:graphicFrameLocks noChangeAspect="1"/>
            </wp:cNvGraphicFramePr>
            <a:graphic>
              <a:graphicData uri="http://schemas.openxmlformats.org/drawingml/2006/picture">
                <pic:pic>
                  <pic:nvPicPr>
                    <pic:cNvPr id="0" name="baseline_metrics_dashboard.png"/>
                    <pic:cNvPicPr/>
                  </pic:nvPicPr>
                  <pic:blipFill>
                    <a:blip r:embed="rId10"/>
                    <a:stretch>
                      <a:fillRect/>
                    </a:stretch>
                  </pic:blipFill>
                  <pic:spPr>
                    <a:xfrm>
                      <a:off x="0" y="0"/>
                      <a:ext cx="5120640" cy="1711325"/>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5.1:</w:t>
      </w:r>
      <w:r>
        <w:rPr>
          <w:rFonts w:ascii="Calibri" w:hAnsi="Calibri" w:cs="Calibri" w:eastAsia="Calibri"/>
          <w:b w:val="0"/>
          <w:i/>
          <w:color w:val="505050"/>
          <w:sz w:val="18"/>
        </w:rPr>
        <w:t xml:space="preserve"> Baseline Metrics Dashboard - Churn rates, plan distribution, and membership statistics</w:t>
      </w:r>
    </w:p>
    <w:p>
      <w:pPr>
        <w:spacing w:before="160" w:after="40"/>
        <w:jc w:val="left"/>
      </w:pPr>
      <w:r>
        <w:rPr>
          <w:rFonts w:ascii="Trebuchet MS" w:hAnsi="Trebuchet MS" w:cs="Trebuchet MS" w:eastAsia="Trebuchet MS"/>
          <w:b/>
          <w:i w:val="0"/>
          <w:color w:val="000000"/>
          <w:sz w:val="24"/>
        </w:rPr>
        <w:t>5.3 Pareto Analysis - Top Churn Contributors</w:t>
      </w:r>
    </w:p>
    <w:p>
      <w:pPr>
        <w:spacing w:before="0" w:after="60" w:line="276" w:lineRule="auto"/>
        <w:jc w:val="both"/>
      </w:pPr>
      <w:r>
        <w:rPr>
          <w:rFonts w:ascii="Calibri" w:hAnsi="Calibri" w:cs="Calibri" w:eastAsia="Calibri"/>
          <w:b w:val="0"/>
          <w:i w:val="0"/>
          <w:color w:val="000000"/>
          <w:sz w:val="21"/>
        </w:rPr>
        <w:t>Pareto Analysis (80-20 Rule) identified the vital few factors driving the majority of member churn:</w:t>
      </w:r>
    </w:p>
    <w:p>
      <w:pPr>
        <w:spacing w:before="80" w:after="40"/>
        <w:jc w:val="center"/>
      </w:pPr>
      <w:r>
        <w:drawing>
          <wp:inline xmlns:a="http://schemas.openxmlformats.org/drawingml/2006/main" xmlns:pic="http://schemas.openxmlformats.org/drawingml/2006/picture">
            <wp:extent cx="4572000" cy="2718486"/>
            <wp:docPr id="3" name="Picture 3"/>
            <wp:cNvGraphicFramePr>
              <a:graphicFrameLocks noChangeAspect="1"/>
            </wp:cNvGraphicFramePr>
            <a:graphic>
              <a:graphicData uri="http://schemas.openxmlformats.org/drawingml/2006/picture">
                <pic:pic>
                  <pic:nvPicPr>
                    <pic:cNvPr id="0" name="pareto_1_churn_by_plan.png"/>
                    <pic:cNvPicPr/>
                  </pic:nvPicPr>
                  <pic:blipFill>
                    <a:blip r:embed="rId11"/>
                    <a:stretch>
                      <a:fillRect/>
                    </a:stretch>
                  </pic:blipFill>
                  <pic:spPr>
                    <a:xfrm>
                      <a:off x="0" y="0"/>
                      <a:ext cx="4572000" cy="2718486"/>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5.2:</w:t>
      </w:r>
      <w:r>
        <w:rPr>
          <w:rFonts w:ascii="Calibri" w:hAnsi="Calibri" w:cs="Calibri" w:eastAsia="Calibri"/>
          <w:b w:val="0"/>
          <w:i/>
          <w:color w:val="505050"/>
          <w:sz w:val="18"/>
        </w:rPr>
        <w:t xml:space="preserve"> Pareto Chart - Churn by Plan Type (Monthly plans: 77% churn rate)</w:t>
      </w:r>
    </w:p>
    <w:p>
      <w:pPr>
        <w:spacing w:before="80" w:after="40"/>
        <w:jc w:val="center"/>
      </w:pPr>
      <w:r>
        <w:drawing>
          <wp:inline xmlns:a="http://schemas.openxmlformats.org/drawingml/2006/main" xmlns:pic="http://schemas.openxmlformats.org/drawingml/2006/picture">
            <wp:extent cx="4572000" cy="2718486"/>
            <wp:docPr id="4" name="Picture 4"/>
            <wp:cNvGraphicFramePr>
              <a:graphicFrameLocks noChangeAspect="1"/>
            </wp:cNvGraphicFramePr>
            <a:graphic>
              <a:graphicData uri="http://schemas.openxmlformats.org/drawingml/2006/picture">
                <pic:pic>
                  <pic:nvPicPr>
                    <pic:cNvPr id="0" name="pareto_2_churn_by_duration.png"/>
                    <pic:cNvPicPr/>
                  </pic:nvPicPr>
                  <pic:blipFill>
                    <a:blip r:embed="rId12"/>
                    <a:stretch>
                      <a:fillRect/>
                    </a:stretch>
                  </pic:blipFill>
                  <pic:spPr>
                    <a:xfrm>
                      <a:off x="0" y="0"/>
                      <a:ext cx="4572000" cy="2718486"/>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5.3:</w:t>
      </w:r>
      <w:r>
        <w:rPr>
          <w:rFonts w:ascii="Calibri" w:hAnsi="Calibri" w:cs="Calibri" w:eastAsia="Calibri"/>
          <w:b w:val="0"/>
          <w:i/>
          <w:color w:val="505050"/>
          <w:sz w:val="18"/>
        </w:rPr>
        <w:t xml:space="preserve"> Pareto Chart - Churn by Membership Duration Category</w:t>
      </w:r>
    </w:p>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PARETO INSIGHT: </w:t>
      </w:r>
      <w:r>
        <w:rPr>
          <w:rFonts w:ascii="Calibri" w:hAnsi="Calibri" w:cs="Calibri" w:eastAsia="Calibri"/>
          <w:b w:val="0"/>
          <w:i/>
          <w:color w:val="000000"/>
          <w:sz w:val="20"/>
        </w:rPr>
        <w:t>Monthly plan members and short-duration members (&lt; 3 months) constitute the vital few driving 80%+ of total churn. These are the primary targets for improvement.</w:t>
      </w:r>
    </w:p>
    <w:p>
      <w:pPr>
        <w:spacing w:before="160" w:after="40"/>
        <w:jc w:val="left"/>
      </w:pPr>
      <w:r>
        <w:rPr>
          <w:rFonts w:ascii="Trebuchet MS" w:hAnsi="Trebuchet MS" w:cs="Trebuchet MS" w:eastAsia="Trebuchet MS"/>
          <w:b/>
          <w:i w:val="0"/>
          <w:color w:val="000000"/>
          <w:sz w:val="24"/>
        </w:rPr>
        <w:t>5.4 Distribution Histograms</w:t>
      </w:r>
    </w:p>
    <w:p>
      <w:pPr>
        <w:spacing w:before="80" w:after="40"/>
        <w:jc w:val="center"/>
      </w:pPr>
      <w:r>
        <w:drawing>
          <wp:inline xmlns:a="http://schemas.openxmlformats.org/drawingml/2006/main" xmlns:pic="http://schemas.openxmlformats.org/drawingml/2006/picture">
            <wp:extent cx="4389120" cy="2609747"/>
            <wp:docPr id="5" name="Picture 5"/>
            <wp:cNvGraphicFramePr>
              <a:graphicFrameLocks noChangeAspect="1"/>
            </wp:cNvGraphicFramePr>
            <a:graphic>
              <a:graphicData uri="http://schemas.openxmlformats.org/drawingml/2006/picture">
                <pic:pic>
                  <pic:nvPicPr>
                    <pic:cNvPr id="0" name="histogram_1_membership_duration.png"/>
                    <pic:cNvPicPr/>
                  </pic:nvPicPr>
                  <pic:blipFill>
                    <a:blip r:embed="rId13"/>
                    <a:stretch>
                      <a:fillRect/>
                    </a:stretch>
                  </pic:blipFill>
                  <pic:spPr>
                    <a:xfrm>
                      <a:off x="0" y="0"/>
                      <a:ext cx="4389120" cy="2609747"/>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5.4:</w:t>
      </w:r>
      <w:r>
        <w:rPr>
          <w:rFonts w:ascii="Calibri" w:hAnsi="Calibri" w:cs="Calibri" w:eastAsia="Calibri"/>
          <w:b w:val="0"/>
          <w:i/>
          <w:color w:val="505050"/>
          <w:sz w:val="18"/>
        </w:rPr>
        <w:t xml:space="preserve"> Membership Duration - Right-skewed; majority of members churn within 1-3 months</w:t>
      </w:r>
    </w:p>
    <w:p>
      <w:pPr>
        <w:spacing w:before="80" w:after="40"/>
        <w:jc w:val="center"/>
      </w:pPr>
      <w:r>
        <w:drawing>
          <wp:inline xmlns:a="http://schemas.openxmlformats.org/drawingml/2006/main" xmlns:pic="http://schemas.openxmlformats.org/drawingml/2006/picture">
            <wp:extent cx="4389120" cy="2609747"/>
            <wp:docPr id="6" name="Picture 6"/>
            <wp:cNvGraphicFramePr>
              <a:graphicFrameLocks noChangeAspect="1"/>
            </wp:cNvGraphicFramePr>
            <a:graphic>
              <a:graphicData uri="http://schemas.openxmlformats.org/drawingml/2006/picture">
                <pic:pic>
                  <pic:nvPicPr>
                    <pic:cNvPr id="0" name="histogram_2_plan_amount.png"/>
                    <pic:cNvPicPr/>
                  </pic:nvPicPr>
                  <pic:blipFill>
                    <a:blip r:embed="rId14"/>
                    <a:stretch>
                      <a:fillRect/>
                    </a:stretch>
                  </pic:blipFill>
                  <pic:spPr>
                    <a:xfrm>
                      <a:off x="0" y="0"/>
                      <a:ext cx="4389120" cy="2609747"/>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5.5:</w:t>
      </w:r>
      <w:r>
        <w:rPr>
          <w:rFonts w:ascii="Calibri" w:hAnsi="Calibri" w:cs="Calibri" w:eastAsia="Calibri"/>
          <w:b w:val="0"/>
          <w:i/>
          <w:color w:val="505050"/>
          <w:sz w:val="18"/>
        </w:rPr>
        <w:t xml:space="preserve"> Plan Amount Distribution - Bimodal pattern indicates two pricing clusters</w:t>
      </w:r>
    </w:p>
    <w:p>
      <w:pPr>
        <w:spacing w:before="80" w:after="40"/>
        <w:jc w:val="center"/>
      </w:pPr>
      <w:r>
        <w:drawing>
          <wp:inline xmlns:a="http://schemas.openxmlformats.org/drawingml/2006/main" xmlns:pic="http://schemas.openxmlformats.org/drawingml/2006/picture">
            <wp:extent cx="4572000" cy="1875034"/>
            <wp:docPr id="7" name="Picture 7"/>
            <wp:cNvGraphicFramePr>
              <a:graphicFrameLocks noChangeAspect="1"/>
            </wp:cNvGraphicFramePr>
            <a:graphic>
              <a:graphicData uri="http://schemas.openxmlformats.org/drawingml/2006/picture">
                <pic:pic>
                  <pic:nvPicPr>
                    <pic:cNvPr id="0" name="monthly_enrollment_trend.png"/>
                    <pic:cNvPicPr/>
                  </pic:nvPicPr>
                  <pic:blipFill>
                    <a:blip r:embed="rId15"/>
                    <a:stretch>
                      <a:fillRect/>
                    </a:stretch>
                  </pic:blipFill>
                  <pic:spPr>
                    <a:xfrm>
                      <a:off x="0" y="0"/>
                      <a:ext cx="4572000" cy="1875034"/>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5.6:</w:t>
      </w:r>
      <w:r>
        <w:rPr>
          <w:rFonts w:ascii="Calibri" w:hAnsi="Calibri" w:cs="Calibri" w:eastAsia="Calibri"/>
          <w:b w:val="0"/>
          <w:i/>
          <w:color w:val="505050"/>
          <w:sz w:val="18"/>
        </w:rPr>
        <w:t xml:space="preserve"> Monthly Enrollment Trend - Seasonal peaks in January and June</w:t>
      </w:r>
    </w:p>
    <w:p>
      <w:r>
        <w:br w:type="page"/>
      </w:r>
    </w:p>
    <w:p>
      <w:pPr>
        <w:spacing w:before="240" w:after="80"/>
        <w:jc w:val="left"/>
        <w:pBdr>
          <w:bottom w:val="single" w:sz="16" w:space="2" w:color="000000"/>
        </w:pBdr>
      </w:pPr>
      <w:r>
        <w:rPr>
          <w:rFonts w:ascii="Trebuchet MS" w:hAnsi="Trebuchet MS" w:cs="Trebuchet MS" w:eastAsia="Trebuchet MS"/>
          <w:b/>
          <w:i w:val="0"/>
          <w:color w:val="000000"/>
          <w:sz w:val="32"/>
        </w:rPr>
        <w:t>6. A - ANALYZE PHASE</w:t>
      </w:r>
    </w:p>
    <w:p>
      <w:pPr>
        <w:spacing w:before="0" w:after="60" w:line="276" w:lineRule="auto"/>
        <w:jc w:val="both"/>
      </w:pPr>
      <w:r>
        <w:rPr>
          <w:rFonts w:ascii="Calibri" w:hAnsi="Calibri" w:cs="Calibri" w:eastAsia="Calibri"/>
          <w:b w:val="0"/>
          <w:i w:val="0"/>
          <w:color w:val="000000"/>
          <w:sz w:val="21"/>
        </w:rPr>
        <w:t>The Analyze phase is the statistical core of this DMAIC project. All tests use alpha = 0.05 significance threshold. Analysis is conducted across two layers: (1) historical transaction data and (2) primary survey data from 50 member responses.</w:t>
      </w:r>
    </w:p>
    <w:p>
      <w:pPr>
        <w:spacing w:before="160" w:after="40"/>
        <w:jc w:val="left"/>
      </w:pPr>
      <w:r>
        <w:rPr>
          <w:rFonts w:ascii="Trebuchet MS" w:hAnsi="Trebuchet MS" w:cs="Trebuchet MS" w:eastAsia="Trebuchet MS"/>
          <w:b/>
          <w:i w:val="0"/>
          <w:color w:val="000000"/>
          <w:sz w:val="24"/>
        </w:rPr>
        <w:t>6.1 Independent T-Test - Churned vs Active Members</w:t>
      </w:r>
    </w:p>
    <w:p>
      <w:pPr>
        <w:spacing w:before="0" w:after="60" w:line="276" w:lineRule="auto"/>
        <w:jc w:val="both"/>
      </w:pPr>
      <w:r>
        <w:rPr>
          <w:rFonts w:ascii="Calibri" w:hAnsi="Calibri" w:cs="Calibri" w:eastAsia="Calibri"/>
          <w:b w:val="0"/>
          <w:i w:val="0"/>
          <w:color w:val="000000"/>
          <w:sz w:val="21"/>
        </w:rPr>
        <w:t>Welch's T-Test compared continuous variable means between churned and active member groups.</w:t>
      </w:r>
    </w:p>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HYPOTHESIS FRAMEWORK: </w:t>
      </w:r>
      <w:r>
        <w:rPr>
          <w:rFonts w:ascii="Calibri" w:hAnsi="Calibri" w:cs="Calibri" w:eastAsia="Calibri"/>
          <w:b w:val="0"/>
          <w:i/>
          <w:color w:val="000000"/>
          <w:sz w:val="20"/>
        </w:rPr>
        <w:t>H0: Mean is EQUAL between churned and active members</w:t>
        <w:br/>
        <w:t>H1: Significant DIFFERENCE exists between groups (alpha=0.05)</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1345"/>
        <w:gridCol w:w="1345"/>
        <w:gridCol w:w="1345"/>
        <w:gridCol w:w="1345"/>
        <w:gridCol w:w="1345"/>
        <w:gridCol w:w="1345"/>
        <w:gridCol w:w="1345"/>
      </w:tblGrid>
      <w:tr>
        <w:tc>
          <w:tcPr>
            <w:tcW w:type="dxa" w:w="2160"/>
            <w:shd w:val="clear" w:color="auto" w:fill="000000"/>
          </w:tcPr>
          <w:p>
            <w:pPr>
              <w:spacing w:before="60" w:after="60"/>
              <w:jc w:val="center"/>
            </w:pPr>
            <w:r/>
            <w:r>
              <w:rPr>
                <w:rFonts w:ascii="Trebuchet MS" w:hAnsi="Trebuchet MS" w:cs="Trebuchet MS" w:eastAsia="Trebuchet MS"/>
                <w:b/>
                <w:i w:val="0"/>
                <w:color w:val="FFFFFF"/>
                <w:sz w:val="18"/>
              </w:rPr>
              <w:t>Variable</w:t>
            </w:r>
          </w:p>
        </w:tc>
        <w:tc>
          <w:tcPr>
            <w:tcW w:type="dxa" w:w="1008"/>
            <w:shd w:val="clear" w:color="auto" w:fill="000000"/>
          </w:tcPr>
          <w:p>
            <w:pPr>
              <w:spacing w:before="60" w:after="60"/>
              <w:jc w:val="center"/>
            </w:pPr>
            <w:r/>
            <w:r>
              <w:rPr>
                <w:rFonts w:ascii="Trebuchet MS" w:hAnsi="Trebuchet MS" w:cs="Trebuchet MS" w:eastAsia="Trebuchet MS"/>
                <w:b/>
                <w:i w:val="0"/>
                <w:color w:val="FFFFFF"/>
                <w:sz w:val="18"/>
              </w:rPr>
              <w:t>Active Mean</w:t>
            </w:r>
          </w:p>
        </w:tc>
        <w:tc>
          <w:tcPr>
            <w:tcW w:type="dxa" w:w="1008"/>
            <w:shd w:val="clear" w:color="auto" w:fill="000000"/>
          </w:tcPr>
          <w:p>
            <w:pPr>
              <w:spacing w:before="60" w:after="60"/>
              <w:jc w:val="center"/>
            </w:pPr>
            <w:r/>
            <w:r>
              <w:rPr>
                <w:rFonts w:ascii="Trebuchet MS" w:hAnsi="Trebuchet MS" w:cs="Trebuchet MS" w:eastAsia="Trebuchet MS"/>
                <w:b/>
                <w:i w:val="0"/>
                <w:color w:val="FFFFFF"/>
                <w:sz w:val="18"/>
              </w:rPr>
              <w:t>Churned Mean</w:t>
            </w:r>
          </w:p>
        </w:tc>
        <w:tc>
          <w:tcPr>
            <w:tcW w:type="dxa" w:w="792"/>
            <w:shd w:val="clear" w:color="auto" w:fill="000000"/>
          </w:tcPr>
          <w:p>
            <w:pPr>
              <w:spacing w:before="60" w:after="60"/>
              <w:jc w:val="center"/>
            </w:pPr>
            <w:r/>
            <w:r>
              <w:rPr>
                <w:rFonts w:ascii="Trebuchet MS" w:hAnsi="Trebuchet MS" w:cs="Trebuchet MS" w:eastAsia="Trebuchet MS"/>
                <w:b/>
                <w:i w:val="0"/>
                <w:color w:val="FFFFFF"/>
                <w:sz w:val="18"/>
              </w:rPr>
              <w:t>t-stat</w:t>
            </w:r>
          </w:p>
        </w:tc>
        <w:tc>
          <w:tcPr>
            <w:tcW w:type="dxa" w:w="864"/>
            <w:shd w:val="clear" w:color="auto" w:fill="000000"/>
          </w:tcPr>
          <w:p>
            <w:pPr>
              <w:spacing w:before="60" w:after="60"/>
              <w:jc w:val="center"/>
            </w:pPr>
            <w:r/>
            <w:r>
              <w:rPr>
                <w:rFonts w:ascii="Trebuchet MS" w:hAnsi="Trebuchet MS" w:cs="Trebuchet MS" w:eastAsia="Trebuchet MS"/>
                <w:b/>
                <w:i w:val="0"/>
                <w:color w:val="FFFFFF"/>
                <w:sz w:val="18"/>
              </w:rPr>
              <w:t>p-value</w:t>
            </w:r>
          </w:p>
        </w:tc>
        <w:tc>
          <w:tcPr>
            <w:tcW w:type="dxa" w:w="648"/>
            <w:shd w:val="clear" w:color="auto" w:fill="000000"/>
          </w:tcPr>
          <w:p>
            <w:pPr>
              <w:spacing w:before="60" w:after="60"/>
              <w:jc w:val="center"/>
            </w:pPr>
            <w:r/>
            <w:r>
              <w:rPr>
                <w:rFonts w:ascii="Trebuchet MS" w:hAnsi="Trebuchet MS" w:cs="Trebuchet MS" w:eastAsia="Trebuchet MS"/>
                <w:b/>
                <w:i w:val="0"/>
                <w:color w:val="FFFFFF"/>
                <w:sz w:val="18"/>
              </w:rPr>
              <w:t>Sig?</w:t>
            </w:r>
          </w:p>
        </w:tc>
        <w:tc>
          <w:tcPr>
            <w:tcW w:type="dxa" w:w="3024"/>
            <w:shd w:val="clear" w:color="auto" w:fill="000000"/>
          </w:tcPr>
          <w:p>
            <w:pPr>
              <w:spacing w:before="60" w:after="60"/>
              <w:jc w:val="center"/>
            </w:pPr>
            <w:r/>
            <w:r>
              <w:rPr>
                <w:rFonts w:ascii="Trebuchet MS" w:hAnsi="Trebuchet MS" w:cs="Trebuchet MS" w:eastAsia="Trebuchet MS"/>
                <w:b/>
                <w:i w:val="0"/>
                <w:color w:val="FFFFFF"/>
                <w:sz w:val="18"/>
              </w:rPr>
              <w:t>Interpretation</w:t>
            </w:r>
          </w:p>
        </w:tc>
      </w:tr>
      <w:tr>
        <w:tc>
          <w:tcPr>
            <w:tcW w:type="dxa" w:w="2160"/>
            <w:shd w:val="clear" w:color="auto" w:fill="F8F9FA"/>
          </w:tcPr>
          <w:p>
            <w:pPr>
              <w:spacing w:before="40" w:after="40" w:line="264" w:lineRule="auto"/>
              <w:jc w:val="left"/>
            </w:pPr>
            <w:r/>
            <w:r>
              <w:rPr>
                <w:rFonts w:ascii="Calibri" w:hAnsi="Calibri" w:cs="Calibri" w:eastAsia="Calibri"/>
                <w:b w:val="0"/>
                <w:i w:val="0"/>
                <w:color w:val="000000"/>
                <w:sz w:val="17"/>
              </w:rPr>
              <w:t>Membership Duration (months)</w:t>
            </w:r>
          </w:p>
        </w:tc>
        <w:tc>
          <w:tcPr>
            <w:tcW w:type="dxa" w:w="1008"/>
            <w:shd w:val="clear" w:color="auto" w:fill="F8F9FA"/>
          </w:tcPr>
          <w:p>
            <w:pPr>
              <w:spacing w:before="40" w:after="40" w:line="264" w:lineRule="auto"/>
              <w:jc w:val="left"/>
            </w:pPr>
            <w:r/>
            <w:r>
              <w:rPr>
                <w:rFonts w:ascii="Calibri" w:hAnsi="Calibri" w:cs="Calibri" w:eastAsia="Calibri"/>
                <w:b w:val="0"/>
                <w:i w:val="0"/>
                <w:color w:val="000000"/>
                <w:sz w:val="17"/>
              </w:rPr>
              <w:t>6.8</w:t>
            </w:r>
          </w:p>
        </w:tc>
        <w:tc>
          <w:tcPr>
            <w:tcW w:type="dxa" w:w="1008"/>
            <w:shd w:val="clear" w:color="auto" w:fill="F8F9FA"/>
          </w:tcPr>
          <w:p>
            <w:pPr>
              <w:spacing w:before="40" w:after="40" w:line="264" w:lineRule="auto"/>
              <w:jc w:val="left"/>
            </w:pPr>
            <w:r/>
            <w:r>
              <w:rPr>
                <w:rFonts w:ascii="Calibri" w:hAnsi="Calibri" w:cs="Calibri" w:eastAsia="Calibri"/>
                <w:b w:val="0"/>
                <w:i w:val="0"/>
                <w:color w:val="000000"/>
                <w:sz w:val="17"/>
              </w:rPr>
              <w:t>2.1</w:t>
            </w:r>
          </w:p>
        </w:tc>
        <w:tc>
          <w:tcPr>
            <w:tcW w:type="dxa" w:w="792"/>
            <w:shd w:val="clear" w:color="auto" w:fill="F8F9FA"/>
          </w:tcPr>
          <w:p>
            <w:pPr>
              <w:spacing w:before="40" w:after="40" w:line="264" w:lineRule="auto"/>
              <w:jc w:val="left"/>
            </w:pPr>
            <w:r/>
            <w:r>
              <w:rPr>
                <w:rFonts w:ascii="Calibri" w:hAnsi="Calibri" w:cs="Calibri" w:eastAsia="Calibri"/>
                <w:b w:val="0"/>
                <w:i w:val="0"/>
                <w:color w:val="000000"/>
                <w:sz w:val="17"/>
              </w:rPr>
              <w:t>12.45</w:t>
            </w:r>
          </w:p>
        </w:tc>
        <w:tc>
          <w:tcPr>
            <w:tcW w:type="dxa" w:w="864"/>
            <w:shd w:val="clear" w:color="auto" w:fill="F8F9FA"/>
          </w:tcPr>
          <w:p>
            <w:pPr>
              <w:spacing w:before="40" w:after="40" w:line="264" w:lineRule="auto"/>
              <w:jc w:val="left"/>
            </w:pPr>
            <w:r/>
            <w:r>
              <w:rPr>
                <w:rFonts w:ascii="Calibri" w:hAnsi="Calibri" w:cs="Calibri" w:eastAsia="Calibri"/>
                <w:b w:val="0"/>
                <w:i w:val="0"/>
                <w:color w:val="000000"/>
                <w:sz w:val="17"/>
              </w:rPr>
              <w:t>&lt;0.001</w:t>
            </w:r>
          </w:p>
        </w:tc>
        <w:tc>
          <w:tcPr>
            <w:tcW w:type="dxa" w:w="648"/>
            <w:shd w:val="clear" w:color="auto" w:fill="F8F9FA"/>
          </w:tcPr>
          <w:p>
            <w:pPr>
              <w:spacing w:before="40" w:after="40" w:line="264" w:lineRule="auto"/>
              <w:jc w:val="left"/>
            </w:pPr>
            <w:r/>
            <w:r>
              <w:rPr>
                <w:rFonts w:ascii="Calibri" w:hAnsi="Calibri" w:cs="Calibri" w:eastAsia="Calibri"/>
                <w:b w:val="0"/>
                <w:i w:val="0"/>
                <w:color w:val="000000"/>
                <w:sz w:val="17"/>
              </w:rPr>
              <w:t>YES</w:t>
            </w:r>
          </w:p>
        </w:tc>
        <w:tc>
          <w:tcPr>
            <w:tcW w:type="dxa" w:w="3024"/>
            <w:shd w:val="clear" w:color="auto" w:fill="F8F9FA"/>
          </w:tcPr>
          <w:p>
            <w:pPr>
              <w:spacing w:before="40" w:after="40" w:line="264" w:lineRule="auto"/>
              <w:jc w:val="left"/>
            </w:pPr>
            <w:r/>
            <w:r>
              <w:rPr>
                <w:rFonts w:ascii="Calibri" w:hAnsi="Calibri" w:cs="Calibri" w:eastAsia="Calibri"/>
                <w:b w:val="0"/>
                <w:i w:val="0"/>
                <w:color w:val="000000"/>
                <w:sz w:val="17"/>
              </w:rPr>
              <w:t>Churned members had shorter tenure</w:t>
            </w:r>
          </w:p>
        </w:tc>
      </w:tr>
      <w:tr>
        <w:tc>
          <w:tcPr>
            <w:tcW w:type="dxa" w:w="2160"/>
            <w:shd w:val="clear" w:color="auto" w:fill="FFFFFF"/>
          </w:tcPr>
          <w:p>
            <w:pPr>
              <w:spacing w:before="40" w:after="40" w:line="264" w:lineRule="auto"/>
              <w:jc w:val="left"/>
            </w:pPr>
            <w:r/>
            <w:r>
              <w:rPr>
                <w:rFonts w:ascii="Calibri" w:hAnsi="Calibri" w:cs="Calibri" w:eastAsia="Calibri"/>
                <w:b w:val="0"/>
                <w:i w:val="0"/>
                <w:color w:val="000000"/>
                <w:sz w:val="17"/>
              </w:rPr>
              <w:t>Plan Amount (Rs)</w:t>
            </w:r>
          </w:p>
        </w:tc>
        <w:tc>
          <w:tcPr>
            <w:tcW w:type="dxa" w:w="1008"/>
            <w:shd w:val="clear" w:color="auto" w:fill="FFFFFF"/>
          </w:tcPr>
          <w:p>
            <w:pPr>
              <w:spacing w:before="40" w:after="40" w:line="264" w:lineRule="auto"/>
              <w:jc w:val="left"/>
            </w:pPr>
            <w:r/>
            <w:r>
              <w:rPr>
                <w:rFonts w:ascii="Calibri" w:hAnsi="Calibri" w:cs="Calibri" w:eastAsia="Calibri"/>
                <w:b w:val="0"/>
                <w:i w:val="0"/>
                <w:color w:val="000000"/>
                <w:sz w:val="17"/>
              </w:rPr>
              <w:t>2,140</w:t>
            </w:r>
          </w:p>
        </w:tc>
        <w:tc>
          <w:tcPr>
            <w:tcW w:type="dxa" w:w="1008"/>
            <w:shd w:val="clear" w:color="auto" w:fill="FFFFFF"/>
          </w:tcPr>
          <w:p>
            <w:pPr>
              <w:spacing w:before="40" w:after="40" w:line="264" w:lineRule="auto"/>
              <w:jc w:val="left"/>
            </w:pPr>
            <w:r/>
            <w:r>
              <w:rPr>
                <w:rFonts w:ascii="Calibri" w:hAnsi="Calibri" w:cs="Calibri" w:eastAsia="Calibri"/>
                <w:b w:val="0"/>
                <w:i w:val="0"/>
                <w:color w:val="000000"/>
                <w:sz w:val="17"/>
              </w:rPr>
              <w:t>1,420</w:t>
            </w:r>
          </w:p>
        </w:tc>
        <w:tc>
          <w:tcPr>
            <w:tcW w:type="dxa" w:w="792"/>
            <w:shd w:val="clear" w:color="auto" w:fill="FFFFFF"/>
          </w:tcPr>
          <w:p>
            <w:pPr>
              <w:spacing w:before="40" w:after="40" w:line="264" w:lineRule="auto"/>
              <w:jc w:val="left"/>
            </w:pPr>
            <w:r/>
            <w:r>
              <w:rPr>
                <w:rFonts w:ascii="Calibri" w:hAnsi="Calibri" w:cs="Calibri" w:eastAsia="Calibri"/>
                <w:b w:val="0"/>
                <w:i w:val="0"/>
                <w:color w:val="000000"/>
                <w:sz w:val="17"/>
              </w:rPr>
              <w:t>8.32</w:t>
            </w:r>
          </w:p>
        </w:tc>
        <w:tc>
          <w:tcPr>
            <w:tcW w:type="dxa" w:w="864"/>
            <w:shd w:val="clear" w:color="auto" w:fill="FFFFFF"/>
          </w:tcPr>
          <w:p>
            <w:pPr>
              <w:spacing w:before="40" w:after="40" w:line="264" w:lineRule="auto"/>
              <w:jc w:val="left"/>
            </w:pPr>
            <w:r/>
            <w:r>
              <w:rPr>
                <w:rFonts w:ascii="Calibri" w:hAnsi="Calibri" w:cs="Calibri" w:eastAsia="Calibri"/>
                <w:b w:val="0"/>
                <w:i w:val="0"/>
                <w:color w:val="000000"/>
                <w:sz w:val="17"/>
              </w:rPr>
              <w:t>&lt;0.001</w:t>
            </w:r>
          </w:p>
        </w:tc>
        <w:tc>
          <w:tcPr>
            <w:tcW w:type="dxa" w:w="648"/>
            <w:shd w:val="clear" w:color="auto" w:fill="FFFFFF"/>
          </w:tcPr>
          <w:p>
            <w:pPr>
              <w:spacing w:before="40" w:after="40" w:line="264" w:lineRule="auto"/>
              <w:jc w:val="left"/>
            </w:pPr>
            <w:r/>
            <w:r>
              <w:rPr>
                <w:rFonts w:ascii="Calibri" w:hAnsi="Calibri" w:cs="Calibri" w:eastAsia="Calibri"/>
                <w:b w:val="0"/>
                <w:i w:val="0"/>
                <w:color w:val="000000"/>
                <w:sz w:val="17"/>
              </w:rPr>
              <w:t>YES</w:t>
            </w:r>
          </w:p>
        </w:tc>
        <w:tc>
          <w:tcPr>
            <w:tcW w:type="dxa" w:w="3024"/>
            <w:shd w:val="clear" w:color="auto" w:fill="FFFFFF"/>
          </w:tcPr>
          <w:p>
            <w:pPr>
              <w:spacing w:before="40" w:after="40" w:line="264" w:lineRule="auto"/>
              <w:jc w:val="left"/>
            </w:pPr>
            <w:r/>
            <w:r>
              <w:rPr>
                <w:rFonts w:ascii="Calibri" w:hAnsi="Calibri" w:cs="Calibri" w:eastAsia="Calibri"/>
                <w:b w:val="0"/>
                <w:i w:val="0"/>
                <w:color w:val="000000"/>
                <w:sz w:val="17"/>
              </w:rPr>
              <w:t>Churned members paid lower amounts</w:t>
            </w:r>
          </w:p>
        </w:tc>
      </w:tr>
      <w:tr>
        <w:tc>
          <w:tcPr>
            <w:tcW w:type="dxa" w:w="2160"/>
            <w:shd w:val="clear" w:color="auto" w:fill="F8F9FA"/>
          </w:tcPr>
          <w:p>
            <w:pPr>
              <w:spacing w:before="40" w:after="40" w:line="264" w:lineRule="auto"/>
              <w:jc w:val="left"/>
            </w:pPr>
            <w:r/>
            <w:r>
              <w:rPr>
                <w:rFonts w:ascii="Calibri" w:hAnsi="Calibri" w:cs="Calibri" w:eastAsia="Calibri"/>
                <w:b w:val="0"/>
                <w:i w:val="0"/>
                <w:color w:val="000000"/>
                <w:sz w:val="17"/>
              </w:rPr>
              <w:t>Payment Gap (days)</w:t>
            </w:r>
          </w:p>
        </w:tc>
        <w:tc>
          <w:tcPr>
            <w:tcW w:type="dxa" w:w="1008"/>
            <w:shd w:val="clear" w:color="auto" w:fill="F8F9FA"/>
          </w:tcPr>
          <w:p>
            <w:pPr>
              <w:spacing w:before="40" w:after="40" w:line="264" w:lineRule="auto"/>
              <w:jc w:val="left"/>
            </w:pPr>
            <w:r/>
            <w:r>
              <w:rPr>
                <w:rFonts w:ascii="Calibri" w:hAnsi="Calibri" w:cs="Calibri" w:eastAsia="Calibri"/>
                <w:b w:val="0"/>
                <w:i w:val="0"/>
                <w:color w:val="000000"/>
                <w:sz w:val="17"/>
              </w:rPr>
              <w:t>0.8</w:t>
            </w:r>
          </w:p>
        </w:tc>
        <w:tc>
          <w:tcPr>
            <w:tcW w:type="dxa" w:w="1008"/>
            <w:shd w:val="clear" w:color="auto" w:fill="F8F9FA"/>
          </w:tcPr>
          <w:p>
            <w:pPr>
              <w:spacing w:before="40" w:after="40" w:line="264" w:lineRule="auto"/>
              <w:jc w:val="left"/>
            </w:pPr>
            <w:r/>
            <w:r>
              <w:rPr>
                <w:rFonts w:ascii="Calibri" w:hAnsi="Calibri" w:cs="Calibri" w:eastAsia="Calibri"/>
                <w:b w:val="0"/>
                <w:i w:val="0"/>
                <w:color w:val="000000"/>
                <w:sz w:val="17"/>
              </w:rPr>
              <w:t>3.9</w:t>
            </w:r>
          </w:p>
        </w:tc>
        <w:tc>
          <w:tcPr>
            <w:tcW w:type="dxa" w:w="792"/>
            <w:shd w:val="clear" w:color="auto" w:fill="F8F9FA"/>
          </w:tcPr>
          <w:p>
            <w:pPr>
              <w:spacing w:before="40" w:after="40" w:line="264" w:lineRule="auto"/>
              <w:jc w:val="left"/>
            </w:pPr>
            <w:r/>
            <w:r>
              <w:rPr>
                <w:rFonts w:ascii="Calibri" w:hAnsi="Calibri" w:cs="Calibri" w:eastAsia="Calibri"/>
                <w:b w:val="0"/>
                <w:i w:val="0"/>
                <w:color w:val="000000"/>
                <w:sz w:val="17"/>
              </w:rPr>
              <w:t>-9.17</w:t>
            </w:r>
          </w:p>
        </w:tc>
        <w:tc>
          <w:tcPr>
            <w:tcW w:type="dxa" w:w="864"/>
            <w:shd w:val="clear" w:color="auto" w:fill="F8F9FA"/>
          </w:tcPr>
          <w:p>
            <w:pPr>
              <w:spacing w:before="40" w:after="40" w:line="264" w:lineRule="auto"/>
              <w:jc w:val="left"/>
            </w:pPr>
            <w:r/>
            <w:r>
              <w:rPr>
                <w:rFonts w:ascii="Calibri" w:hAnsi="Calibri" w:cs="Calibri" w:eastAsia="Calibri"/>
                <w:b w:val="0"/>
                <w:i w:val="0"/>
                <w:color w:val="000000"/>
                <w:sz w:val="17"/>
              </w:rPr>
              <w:t>&lt;0.001</w:t>
            </w:r>
          </w:p>
        </w:tc>
        <w:tc>
          <w:tcPr>
            <w:tcW w:type="dxa" w:w="648"/>
            <w:shd w:val="clear" w:color="auto" w:fill="F8F9FA"/>
          </w:tcPr>
          <w:p>
            <w:pPr>
              <w:spacing w:before="40" w:after="40" w:line="264" w:lineRule="auto"/>
              <w:jc w:val="left"/>
            </w:pPr>
            <w:r/>
            <w:r>
              <w:rPr>
                <w:rFonts w:ascii="Calibri" w:hAnsi="Calibri" w:cs="Calibri" w:eastAsia="Calibri"/>
                <w:b w:val="0"/>
                <w:i w:val="0"/>
                <w:color w:val="000000"/>
                <w:sz w:val="17"/>
              </w:rPr>
              <w:t>YES</w:t>
            </w:r>
          </w:p>
        </w:tc>
        <w:tc>
          <w:tcPr>
            <w:tcW w:type="dxa" w:w="3024"/>
            <w:shd w:val="clear" w:color="auto" w:fill="F8F9FA"/>
          </w:tcPr>
          <w:p>
            <w:pPr>
              <w:spacing w:before="40" w:after="40" w:line="264" w:lineRule="auto"/>
              <w:jc w:val="left"/>
            </w:pPr>
            <w:r/>
            <w:r>
              <w:rPr>
                <w:rFonts w:ascii="Calibri" w:hAnsi="Calibri" w:cs="Calibri" w:eastAsia="Calibri"/>
                <w:b w:val="0"/>
                <w:i w:val="0"/>
                <w:color w:val="000000"/>
                <w:sz w:val="17"/>
              </w:rPr>
              <w:t>Churned members had longer delays</w:t>
            </w:r>
          </w:p>
        </w:tc>
      </w:tr>
      <w:tr>
        <w:tc>
          <w:tcPr>
            <w:tcW w:type="dxa" w:w="2160"/>
            <w:shd w:val="clear" w:color="auto" w:fill="FFFFFF"/>
          </w:tcPr>
          <w:p>
            <w:pPr>
              <w:spacing w:before="40" w:after="40" w:line="264" w:lineRule="auto"/>
              <w:jc w:val="left"/>
            </w:pPr>
            <w:r/>
            <w:r>
              <w:rPr>
                <w:rFonts w:ascii="Calibri" w:hAnsi="Calibri" w:cs="Calibri" w:eastAsia="Calibri"/>
                <w:b w:val="0"/>
                <w:i w:val="0"/>
                <w:color w:val="000000"/>
                <w:sz w:val="17"/>
              </w:rPr>
              <w:t>Member Age</w:t>
            </w:r>
          </w:p>
        </w:tc>
        <w:tc>
          <w:tcPr>
            <w:tcW w:type="dxa" w:w="1008"/>
            <w:shd w:val="clear" w:color="auto" w:fill="FFFFFF"/>
          </w:tcPr>
          <w:p>
            <w:pPr>
              <w:spacing w:before="40" w:after="40" w:line="264" w:lineRule="auto"/>
              <w:jc w:val="left"/>
            </w:pPr>
            <w:r/>
            <w:r>
              <w:rPr>
                <w:rFonts w:ascii="Calibri" w:hAnsi="Calibri" w:cs="Calibri" w:eastAsia="Calibri"/>
                <w:b w:val="0"/>
                <w:i w:val="0"/>
                <w:color w:val="000000"/>
                <w:sz w:val="17"/>
              </w:rPr>
              <w:t>34.2</w:t>
            </w:r>
          </w:p>
        </w:tc>
        <w:tc>
          <w:tcPr>
            <w:tcW w:type="dxa" w:w="1008"/>
            <w:shd w:val="clear" w:color="auto" w:fill="FFFFFF"/>
          </w:tcPr>
          <w:p>
            <w:pPr>
              <w:spacing w:before="40" w:after="40" w:line="264" w:lineRule="auto"/>
              <w:jc w:val="left"/>
            </w:pPr>
            <w:r/>
            <w:r>
              <w:rPr>
                <w:rFonts w:ascii="Calibri" w:hAnsi="Calibri" w:cs="Calibri" w:eastAsia="Calibri"/>
                <w:b w:val="0"/>
                <w:i w:val="0"/>
                <w:color w:val="000000"/>
                <w:sz w:val="17"/>
              </w:rPr>
              <w:t>29.8</w:t>
            </w:r>
          </w:p>
        </w:tc>
        <w:tc>
          <w:tcPr>
            <w:tcW w:type="dxa" w:w="792"/>
            <w:shd w:val="clear" w:color="auto" w:fill="FFFFFF"/>
          </w:tcPr>
          <w:p>
            <w:pPr>
              <w:spacing w:before="40" w:after="40" w:line="264" w:lineRule="auto"/>
              <w:jc w:val="left"/>
            </w:pPr>
            <w:r/>
            <w:r>
              <w:rPr>
                <w:rFonts w:ascii="Calibri" w:hAnsi="Calibri" w:cs="Calibri" w:eastAsia="Calibri"/>
                <w:b w:val="0"/>
                <w:i w:val="0"/>
                <w:color w:val="000000"/>
                <w:sz w:val="17"/>
              </w:rPr>
              <w:t>3.41</w:t>
            </w:r>
          </w:p>
        </w:tc>
        <w:tc>
          <w:tcPr>
            <w:tcW w:type="dxa" w:w="864"/>
            <w:shd w:val="clear" w:color="auto" w:fill="FFFFFF"/>
          </w:tcPr>
          <w:p>
            <w:pPr>
              <w:spacing w:before="40" w:after="40" w:line="264" w:lineRule="auto"/>
              <w:jc w:val="left"/>
            </w:pPr>
            <w:r/>
            <w:r>
              <w:rPr>
                <w:rFonts w:ascii="Calibri" w:hAnsi="Calibri" w:cs="Calibri" w:eastAsia="Calibri"/>
                <w:b w:val="0"/>
                <w:i w:val="0"/>
                <w:color w:val="000000"/>
                <w:sz w:val="17"/>
              </w:rPr>
              <w:t>0.001</w:t>
            </w:r>
          </w:p>
        </w:tc>
        <w:tc>
          <w:tcPr>
            <w:tcW w:type="dxa" w:w="648"/>
            <w:shd w:val="clear" w:color="auto" w:fill="FFFFFF"/>
          </w:tcPr>
          <w:p>
            <w:pPr>
              <w:spacing w:before="40" w:after="40" w:line="264" w:lineRule="auto"/>
              <w:jc w:val="left"/>
            </w:pPr>
            <w:r/>
            <w:r>
              <w:rPr>
                <w:rFonts w:ascii="Calibri" w:hAnsi="Calibri" w:cs="Calibri" w:eastAsia="Calibri"/>
                <w:b w:val="0"/>
                <w:i w:val="0"/>
                <w:color w:val="000000"/>
                <w:sz w:val="17"/>
              </w:rPr>
              <w:t>YES</w:t>
            </w:r>
          </w:p>
        </w:tc>
        <w:tc>
          <w:tcPr>
            <w:tcW w:type="dxa" w:w="3024"/>
            <w:shd w:val="clear" w:color="auto" w:fill="FFFFFF"/>
          </w:tcPr>
          <w:p>
            <w:pPr>
              <w:spacing w:before="40" w:after="40" w:line="264" w:lineRule="auto"/>
              <w:jc w:val="left"/>
            </w:pPr>
            <w:r/>
            <w:r>
              <w:rPr>
                <w:rFonts w:ascii="Calibri" w:hAnsi="Calibri" w:cs="Calibri" w:eastAsia="Calibri"/>
                <w:b w:val="0"/>
                <w:i w:val="0"/>
                <w:color w:val="000000"/>
                <w:sz w:val="17"/>
              </w:rPr>
              <w:t>Younger members churn more</w:t>
            </w:r>
          </w:p>
        </w:tc>
      </w:tr>
      <w:tr>
        <w:tc>
          <w:tcPr>
            <w:tcW w:type="dxa" w:w="2160"/>
            <w:shd w:val="clear" w:color="auto" w:fill="F8F9FA"/>
          </w:tcPr>
          <w:p>
            <w:pPr>
              <w:spacing w:before="40" w:after="40" w:line="264" w:lineRule="auto"/>
              <w:jc w:val="left"/>
            </w:pPr>
            <w:r/>
            <w:r>
              <w:rPr>
                <w:rFonts w:ascii="Calibri" w:hAnsi="Calibri" w:cs="Calibri" w:eastAsia="Calibri"/>
                <w:b w:val="0"/>
                <w:i w:val="0"/>
                <w:color w:val="000000"/>
                <w:sz w:val="17"/>
              </w:rPr>
              <w:t>Plan Duration (months)</w:t>
            </w:r>
          </w:p>
        </w:tc>
        <w:tc>
          <w:tcPr>
            <w:tcW w:type="dxa" w:w="1008"/>
            <w:shd w:val="clear" w:color="auto" w:fill="F8F9FA"/>
          </w:tcPr>
          <w:p>
            <w:pPr>
              <w:spacing w:before="40" w:after="40" w:line="264" w:lineRule="auto"/>
              <w:jc w:val="left"/>
            </w:pPr>
            <w:r/>
            <w:r>
              <w:rPr>
                <w:rFonts w:ascii="Calibri" w:hAnsi="Calibri" w:cs="Calibri" w:eastAsia="Calibri"/>
                <w:b w:val="0"/>
                <w:i w:val="0"/>
                <w:color w:val="000000"/>
                <w:sz w:val="17"/>
              </w:rPr>
              <w:t>8.4</w:t>
            </w:r>
          </w:p>
        </w:tc>
        <w:tc>
          <w:tcPr>
            <w:tcW w:type="dxa" w:w="1008"/>
            <w:shd w:val="clear" w:color="auto" w:fill="F8F9FA"/>
          </w:tcPr>
          <w:p>
            <w:pPr>
              <w:spacing w:before="40" w:after="40" w:line="264" w:lineRule="auto"/>
              <w:jc w:val="left"/>
            </w:pPr>
            <w:r/>
            <w:r>
              <w:rPr>
                <w:rFonts w:ascii="Calibri" w:hAnsi="Calibri" w:cs="Calibri" w:eastAsia="Calibri"/>
                <w:b w:val="0"/>
                <w:i w:val="0"/>
                <w:color w:val="000000"/>
                <w:sz w:val="17"/>
              </w:rPr>
              <w:t>1.9</w:t>
            </w:r>
          </w:p>
        </w:tc>
        <w:tc>
          <w:tcPr>
            <w:tcW w:type="dxa" w:w="792"/>
            <w:shd w:val="clear" w:color="auto" w:fill="F8F9FA"/>
          </w:tcPr>
          <w:p>
            <w:pPr>
              <w:spacing w:before="40" w:after="40" w:line="264" w:lineRule="auto"/>
              <w:jc w:val="left"/>
            </w:pPr>
            <w:r/>
            <w:r>
              <w:rPr>
                <w:rFonts w:ascii="Calibri" w:hAnsi="Calibri" w:cs="Calibri" w:eastAsia="Calibri"/>
                <w:b w:val="0"/>
                <w:i w:val="0"/>
                <w:color w:val="000000"/>
                <w:sz w:val="17"/>
              </w:rPr>
              <w:t>15.62</w:t>
            </w:r>
          </w:p>
        </w:tc>
        <w:tc>
          <w:tcPr>
            <w:tcW w:type="dxa" w:w="864"/>
            <w:shd w:val="clear" w:color="auto" w:fill="F8F9FA"/>
          </w:tcPr>
          <w:p>
            <w:pPr>
              <w:spacing w:before="40" w:after="40" w:line="264" w:lineRule="auto"/>
              <w:jc w:val="left"/>
            </w:pPr>
            <w:r/>
            <w:r>
              <w:rPr>
                <w:rFonts w:ascii="Calibri" w:hAnsi="Calibri" w:cs="Calibri" w:eastAsia="Calibri"/>
                <w:b w:val="0"/>
                <w:i w:val="0"/>
                <w:color w:val="000000"/>
                <w:sz w:val="17"/>
              </w:rPr>
              <w:t>&lt;0.001</w:t>
            </w:r>
          </w:p>
        </w:tc>
        <w:tc>
          <w:tcPr>
            <w:tcW w:type="dxa" w:w="648"/>
            <w:shd w:val="clear" w:color="auto" w:fill="F8F9FA"/>
          </w:tcPr>
          <w:p>
            <w:pPr>
              <w:spacing w:before="40" w:after="40" w:line="264" w:lineRule="auto"/>
              <w:jc w:val="left"/>
            </w:pPr>
            <w:r/>
            <w:r>
              <w:rPr>
                <w:rFonts w:ascii="Calibri" w:hAnsi="Calibri" w:cs="Calibri" w:eastAsia="Calibri"/>
                <w:b w:val="0"/>
                <w:i w:val="0"/>
                <w:color w:val="000000"/>
                <w:sz w:val="17"/>
              </w:rPr>
              <w:t>YES</w:t>
            </w:r>
          </w:p>
        </w:tc>
        <w:tc>
          <w:tcPr>
            <w:tcW w:type="dxa" w:w="3024"/>
            <w:shd w:val="clear" w:color="auto" w:fill="F8F9FA"/>
          </w:tcPr>
          <w:p>
            <w:pPr>
              <w:spacing w:before="40" w:after="40" w:line="264" w:lineRule="auto"/>
              <w:jc w:val="left"/>
            </w:pPr>
            <w:r/>
            <w:r>
              <w:rPr>
                <w:rFonts w:ascii="Calibri" w:hAnsi="Calibri" w:cs="Calibri" w:eastAsia="Calibri"/>
                <w:b w:val="0"/>
                <w:i w:val="0"/>
                <w:color w:val="000000"/>
                <w:sz w:val="17"/>
              </w:rPr>
              <w:t>Short plan duration predicts churn</w:t>
            </w:r>
          </w:p>
        </w:tc>
      </w:tr>
    </w:tbl>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T-TEST CONCLUSION: </w:t>
      </w:r>
      <w:r>
        <w:rPr>
          <w:rFonts w:ascii="Calibri" w:hAnsi="Calibri" w:cs="Calibri" w:eastAsia="Calibri"/>
          <w:b w:val="0"/>
          <w:i/>
          <w:color w:val="000000"/>
          <w:sz w:val="20"/>
        </w:rPr>
        <w:t>All five variables show significant differences (p&lt;0.001). Membership duration and plan duration are the strongest continuous discriminators.</w:t>
      </w:r>
    </w:p>
    <w:p>
      <w:pPr>
        <w:spacing w:before="80" w:after="40"/>
        <w:jc w:val="center"/>
      </w:pPr>
      <w:r>
        <w:drawing>
          <wp:inline xmlns:a="http://schemas.openxmlformats.org/drawingml/2006/main" xmlns:pic="http://schemas.openxmlformats.org/drawingml/2006/picture">
            <wp:extent cx="5029200" cy="1732071"/>
            <wp:docPr id="8" name="Picture 8"/>
            <wp:cNvGraphicFramePr>
              <a:graphicFrameLocks noChangeAspect="1"/>
            </wp:cNvGraphicFramePr>
            <a:graphic>
              <a:graphicData uri="http://schemas.openxmlformats.org/drawingml/2006/picture">
                <pic:pic>
                  <pic:nvPicPr>
                    <pic:cNvPr id="0" name="box_plots_comparisons.png"/>
                    <pic:cNvPicPr/>
                  </pic:nvPicPr>
                  <pic:blipFill>
                    <a:blip r:embed="rId16"/>
                    <a:stretch>
                      <a:fillRect/>
                    </a:stretch>
                  </pic:blipFill>
                  <pic:spPr>
                    <a:xfrm>
                      <a:off x="0" y="0"/>
                      <a:ext cx="5029200" cy="1732071"/>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6.1:</w:t>
      </w:r>
      <w:r>
        <w:rPr>
          <w:rFonts w:ascii="Calibri" w:hAnsi="Calibri" w:cs="Calibri" w:eastAsia="Calibri"/>
          <w:b w:val="0"/>
          <w:i/>
          <w:color w:val="505050"/>
          <w:sz w:val="18"/>
        </w:rPr>
        <w:t xml:space="preserve"> Box Plot Panel - Key Variables Compared Between Active and Churned Member Groups</w:t>
      </w:r>
    </w:p>
    <w:p>
      <w:pPr>
        <w:spacing w:before="160" w:after="40"/>
        <w:jc w:val="left"/>
      </w:pPr>
      <w:r>
        <w:rPr>
          <w:rFonts w:ascii="Trebuchet MS" w:hAnsi="Trebuchet MS" w:cs="Trebuchet MS" w:eastAsia="Trebuchet MS"/>
          <w:b/>
          <w:i w:val="0"/>
          <w:color w:val="000000"/>
          <w:sz w:val="24"/>
        </w:rPr>
        <w:t>6.2 Chi-Square Test - Categorical Variables vs Churn</w:t>
      </w:r>
    </w:p>
    <w:p>
      <w:pPr>
        <w:spacing w:before="0" w:after="60" w:line="276" w:lineRule="auto"/>
        <w:jc w:val="both"/>
      </w:pPr>
      <w:r>
        <w:rPr>
          <w:rFonts w:ascii="Calibri" w:hAnsi="Calibri" w:cs="Calibri" w:eastAsia="Calibri"/>
          <w:b w:val="0"/>
          <w:i w:val="0"/>
          <w:color w:val="000000"/>
          <w:sz w:val="21"/>
        </w:rPr>
        <w:t>Chi-Square tests evaluated statistical associations between categorical variables and churn status.</w:t>
      </w:r>
    </w:p>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HYPOTHESIS FRAMEWORK: </w:t>
      </w:r>
      <w:r>
        <w:rPr>
          <w:rFonts w:ascii="Calibri" w:hAnsi="Calibri" w:cs="Calibri" w:eastAsia="Calibri"/>
          <w:b w:val="0"/>
          <w:i/>
          <w:color w:val="000000"/>
          <w:sz w:val="20"/>
        </w:rPr>
        <w:t>H0: Variable is INDEPENDENT of churn status</w:t>
        <w:br/>
        <w:t>H1: Significant ASSOCIATION exists (alpha=0.05)</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1569"/>
        <w:gridCol w:w="1569"/>
        <w:gridCol w:w="1569"/>
        <w:gridCol w:w="1569"/>
        <w:gridCol w:w="1569"/>
        <w:gridCol w:w="1569"/>
      </w:tblGrid>
      <w:tr>
        <w:tc>
          <w:tcPr>
            <w:tcW w:type="dxa" w:w="1569"/>
            <w:shd w:val="clear" w:color="auto" w:fill="000000"/>
          </w:tcPr>
          <w:p>
            <w:pPr>
              <w:spacing w:before="60" w:after="60"/>
              <w:jc w:val="center"/>
            </w:pPr>
            <w:r/>
            <w:r>
              <w:rPr>
                <w:rFonts w:ascii="Trebuchet MS" w:hAnsi="Trebuchet MS" w:cs="Trebuchet MS" w:eastAsia="Trebuchet MS"/>
                <w:b/>
                <w:i w:val="0"/>
                <w:color w:val="FFFFFF"/>
                <w:sz w:val="18"/>
              </w:rPr>
              <w:t>Variable</w:t>
            </w:r>
          </w:p>
        </w:tc>
        <w:tc>
          <w:tcPr>
            <w:tcW w:type="dxa" w:w="1569"/>
            <w:shd w:val="clear" w:color="auto" w:fill="000000"/>
          </w:tcPr>
          <w:p>
            <w:pPr>
              <w:spacing w:before="60" w:after="60"/>
              <w:jc w:val="center"/>
            </w:pPr>
            <w:r/>
            <w:r>
              <w:rPr>
                <w:rFonts w:ascii="Trebuchet MS" w:hAnsi="Trebuchet MS" w:cs="Trebuchet MS" w:eastAsia="Trebuchet MS"/>
                <w:b/>
                <w:i w:val="0"/>
                <w:color w:val="FFFFFF"/>
                <w:sz w:val="18"/>
              </w:rPr>
              <w:t>Chi2</w:t>
            </w:r>
          </w:p>
        </w:tc>
        <w:tc>
          <w:tcPr>
            <w:tcW w:type="dxa" w:w="1569"/>
            <w:shd w:val="clear" w:color="auto" w:fill="000000"/>
          </w:tcPr>
          <w:p>
            <w:pPr>
              <w:spacing w:before="60" w:after="60"/>
              <w:jc w:val="center"/>
            </w:pPr>
            <w:r/>
            <w:r>
              <w:rPr>
                <w:rFonts w:ascii="Trebuchet MS" w:hAnsi="Trebuchet MS" w:cs="Trebuchet MS" w:eastAsia="Trebuchet MS"/>
                <w:b/>
                <w:i w:val="0"/>
                <w:color w:val="FFFFFF"/>
                <w:sz w:val="18"/>
              </w:rPr>
              <w:t>DoF</w:t>
            </w:r>
          </w:p>
        </w:tc>
        <w:tc>
          <w:tcPr>
            <w:tcW w:type="dxa" w:w="1569"/>
            <w:shd w:val="clear" w:color="auto" w:fill="000000"/>
          </w:tcPr>
          <w:p>
            <w:pPr>
              <w:spacing w:before="60" w:after="60"/>
              <w:jc w:val="center"/>
            </w:pPr>
            <w:r/>
            <w:r>
              <w:rPr>
                <w:rFonts w:ascii="Trebuchet MS" w:hAnsi="Trebuchet MS" w:cs="Trebuchet MS" w:eastAsia="Trebuchet MS"/>
                <w:b/>
                <w:i w:val="0"/>
                <w:color w:val="FFFFFF"/>
                <w:sz w:val="18"/>
              </w:rPr>
              <w:t>p-value</w:t>
            </w:r>
          </w:p>
        </w:tc>
        <w:tc>
          <w:tcPr>
            <w:tcW w:type="dxa" w:w="1569"/>
            <w:shd w:val="clear" w:color="auto" w:fill="000000"/>
          </w:tcPr>
          <w:p>
            <w:pPr>
              <w:spacing w:before="60" w:after="60"/>
              <w:jc w:val="center"/>
            </w:pPr>
            <w:r/>
            <w:r>
              <w:rPr>
                <w:rFonts w:ascii="Trebuchet MS" w:hAnsi="Trebuchet MS" w:cs="Trebuchet MS" w:eastAsia="Trebuchet MS"/>
                <w:b/>
                <w:i w:val="0"/>
                <w:color w:val="FFFFFF"/>
                <w:sz w:val="18"/>
              </w:rPr>
              <w:t>Significant?</w:t>
            </w:r>
          </w:p>
        </w:tc>
        <w:tc>
          <w:tcPr>
            <w:tcW w:type="dxa" w:w="1569"/>
            <w:shd w:val="clear" w:color="auto" w:fill="000000"/>
          </w:tcPr>
          <w:p>
            <w:pPr>
              <w:spacing w:before="60" w:after="60"/>
              <w:jc w:val="center"/>
            </w:pPr>
            <w:r/>
            <w:r>
              <w:rPr>
                <w:rFonts w:ascii="Trebuchet MS" w:hAnsi="Trebuchet MS" w:cs="Trebuchet MS" w:eastAsia="Trebuchet MS"/>
                <w:b/>
                <w:i w:val="0"/>
                <w:color w:val="FFFFFF"/>
                <w:sz w:val="18"/>
              </w:rPr>
              <w:t>Interpretation</w:t>
            </w:r>
          </w:p>
        </w:tc>
      </w:tr>
      <w:tr>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Membership Plan Type</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87.43</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2</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&lt;0.001</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YES</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Strong - Monthly plans drive churn</w:t>
            </w:r>
          </w:p>
        </w:tc>
      </w:tr>
      <w:tr>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Plan Duration Category</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95.12</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3</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&lt;0.001</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YES</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Very strong association</w:t>
            </w:r>
          </w:p>
        </w:tc>
      </w:tr>
      <w:tr>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Payment Method</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12.31</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3</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0.006</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YES</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Significant association</w:t>
            </w:r>
          </w:p>
        </w:tc>
      </w:tr>
      <w:tr>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Gender</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2.14</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1</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0.143</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NO</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Independent of churn</w:t>
            </w:r>
          </w:p>
        </w:tc>
      </w:tr>
      <w:tr>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Branch/Location</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4.81</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2</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0.090</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NO</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Not significant at 0.05</w:t>
            </w:r>
          </w:p>
        </w:tc>
      </w:tr>
    </w:tbl>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CHI-SQUARE CONCLUSION: </w:t>
      </w:r>
      <w:r>
        <w:rPr>
          <w:rFonts w:ascii="Calibri" w:hAnsi="Calibri" w:cs="Calibri" w:eastAsia="Calibri"/>
          <w:b w:val="0"/>
          <w:i/>
          <w:color w:val="000000"/>
          <w:sz w:val="20"/>
        </w:rPr>
        <w:t>Plan type (Chi2=87.43, p&lt;0.001) and plan duration (Chi2=95.12, p&lt;0.001) are the strongest categorical predictors of churn.</w:t>
      </w:r>
    </w:p>
    <w:p>
      <w:pPr>
        <w:spacing w:before="160" w:after="40"/>
        <w:jc w:val="left"/>
      </w:pPr>
      <w:r>
        <w:rPr>
          <w:rFonts w:ascii="Trebuchet MS" w:hAnsi="Trebuchet MS" w:cs="Trebuchet MS" w:eastAsia="Trebuchet MS"/>
          <w:b/>
          <w:i w:val="0"/>
          <w:color w:val="000000"/>
          <w:sz w:val="24"/>
        </w:rPr>
        <w:t>6.3 F-Test - Variance Comparison (Levene Test)</w:t>
      </w:r>
    </w:p>
    <w:p>
      <w:pPr>
        <w:spacing w:before="0" w:after="60" w:line="276" w:lineRule="auto"/>
        <w:jc w:val="both"/>
      </w:pPr>
      <w:r>
        <w:rPr>
          <w:rFonts w:ascii="Calibri" w:hAnsi="Calibri" w:cs="Calibri" w:eastAsia="Calibri"/>
          <w:b w:val="0"/>
          <w:i w:val="0"/>
          <w:color w:val="000000"/>
          <w:sz w:val="21"/>
        </w:rPr>
        <w:t>Levene's F-Test verified equality of variances between groups, a prerequisite for parametric T-Tests.</w:t>
      </w:r>
    </w:p>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HYPOTHESIS FRAMEWORK: </w:t>
      </w:r>
      <w:r>
        <w:rPr>
          <w:rFonts w:ascii="Calibri" w:hAnsi="Calibri" w:cs="Calibri" w:eastAsia="Calibri"/>
          <w:b w:val="0"/>
          <w:i/>
          <w:color w:val="000000"/>
          <w:sz w:val="20"/>
        </w:rPr>
        <w:t>H0: Variances are EQUAL between groups</w:t>
        <w:br/>
        <w:t>H1: Variances are SIGNIFICANTLY DIFFERENT (alpha=0.05)</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1569"/>
        <w:gridCol w:w="1569"/>
        <w:gridCol w:w="1569"/>
        <w:gridCol w:w="1569"/>
        <w:gridCol w:w="1569"/>
        <w:gridCol w:w="1569"/>
      </w:tblGrid>
      <w:tr>
        <w:tc>
          <w:tcPr>
            <w:tcW w:type="dxa" w:w="1569"/>
            <w:shd w:val="clear" w:color="auto" w:fill="000000"/>
          </w:tcPr>
          <w:p>
            <w:pPr>
              <w:spacing w:before="60" w:after="60"/>
              <w:jc w:val="center"/>
            </w:pPr>
            <w:r/>
            <w:r>
              <w:rPr>
                <w:rFonts w:ascii="Trebuchet MS" w:hAnsi="Trebuchet MS" w:cs="Trebuchet MS" w:eastAsia="Trebuchet MS"/>
                <w:b/>
                <w:i w:val="0"/>
                <w:color w:val="FFFFFF"/>
                <w:sz w:val="18"/>
              </w:rPr>
              <w:t>Variable</w:t>
            </w:r>
          </w:p>
        </w:tc>
        <w:tc>
          <w:tcPr>
            <w:tcW w:type="dxa" w:w="1569"/>
            <w:shd w:val="clear" w:color="auto" w:fill="000000"/>
          </w:tcPr>
          <w:p>
            <w:pPr>
              <w:spacing w:before="60" w:after="60"/>
              <w:jc w:val="center"/>
            </w:pPr>
            <w:r/>
            <w:r>
              <w:rPr>
                <w:rFonts w:ascii="Trebuchet MS" w:hAnsi="Trebuchet MS" w:cs="Trebuchet MS" w:eastAsia="Trebuchet MS"/>
                <w:b/>
                <w:i w:val="0"/>
                <w:color w:val="FFFFFF"/>
                <w:sz w:val="18"/>
              </w:rPr>
              <w:t>Renewer Var.</w:t>
            </w:r>
          </w:p>
        </w:tc>
        <w:tc>
          <w:tcPr>
            <w:tcW w:type="dxa" w:w="1569"/>
            <w:shd w:val="clear" w:color="auto" w:fill="000000"/>
          </w:tcPr>
          <w:p>
            <w:pPr>
              <w:spacing w:before="60" w:after="60"/>
              <w:jc w:val="center"/>
            </w:pPr>
            <w:r/>
            <w:r>
              <w:rPr>
                <w:rFonts w:ascii="Trebuchet MS" w:hAnsi="Trebuchet MS" w:cs="Trebuchet MS" w:eastAsia="Trebuchet MS"/>
                <w:b/>
                <w:i w:val="0"/>
                <w:color w:val="FFFFFF"/>
                <w:sz w:val="18"/>
              </w:rPr>
              <w:t>Non-Renewer Var.</w:t>
            </w:r>
          </w:p>
        </w:tc>
        <w:tc>
          <w:tcPr>
            <w:tcW w:type="dxa" w:w="1569"/>
            <w:shd w:val="clear" w:color="auto" w:fill="000000"/>
          </w:tcPr>
          <w:p>
            <w:pPr>
              <w:spacing w:before="60" w:after="60"/>
              <w:jc w:val="center"/>
            </w:pPr>
            <w:r/>
            <w:r>
              <w:rPr>
                <w:rFonts w:ascii="Trebuchet MS" w:hAnsi="Trebuchet MS" w:cs="Trebuchet MS" w:eastAsia="Trebuchet MS"/>
                <w:b/>
                <w:i w:val="0"/>
                <w:color w:val="FFFFFF"/>
                <w:sz w:val="18"/>
              </w:rPr>
              <w:t>F-Ratio</w:t>
            </w:r>
          </w:p>
        </w:tc>
        <w:tc>
          <w:tcPr>
            <w:tcW w:type="dxa" w:w="1569"/>
            <w:shd w:val="clear" w:color="auto" w:fill="000000"/>
          </w:tcPr>
          <w:p>
            <w:pPr>
              <w:spacing w:before="60" w:after="60"/>
              <w:jc w:val="center"/>
            </w:pPr>
            <w:r/>
            <w:r>
              <w:rPr>
                <w:rFonts w:ascii="Trebuchet MS" w:hAnsi="Trebuchet MS" w:cs="Trebuchet MS" w:eastAsia="Trebuchet MS"/>
                <w:b/>
                <w:i w:val="0"/>
                <w:color w:val="FFFFFF"/>
                <w:sz w:val="18"/>
              </w:rPr>
              <w:t>Levene p-val</w:t>
            </w:r>
          </w:p>
        </w:tc>
        <w:tc>
          <w:tcPr>
            <w:tcW w:type="dxa" w:w="1569"/>
            <w:shd w:val="clear" w:color="auto" w:fill="000000"/>
          </w:tcPr>
          <w:p>
            <w:pPr>
              <w:spacing w:before="60" w:after="60"/>
              <w:jc w:val="center"/>
            </w:pPr>
            <w:r/>
            <w:r>
              <w:rPr>
                <w:rFonts w:ascii="Trebuchet MS" w:hAnsi="Trebuchet MS" w:cs="Trebuchet MS" w:eastAsia="Trebuchet MS"/>
                <w:b/>
                <w:i w:val="0"/>
                <w:color w:val="FFFFFF"/>
                <w:sz w:val="18"/>
              </w:rPr>
              <w:t>Equal Var?</w:t>
            </w:r>
          </w:p>
        </w:tc>
      </w:tr>
      <w:tr>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Equipment Satisfaction</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0.513</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0.322</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1.591</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0.409</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YES - Equal</w:t>
            </w:r>
          </w:p>
        </w:tc>
      </w:tr>
      <w:tr>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Hygiene Satisfaction</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0.199</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0.489</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0.408</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0.212</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YES - Equal</w:t>
            </w:r>
          </w:p>
        </w:tc>
      </w:tr>
      <w:tr>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Environment Rating</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0.815</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0.267</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3.055</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0.560</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YES - Equal</w:t>
            </w:r>
          </w:p>
        </w:tc>
      </w:tr>
      <w:tr>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Trainer Rating</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0.244</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0.544</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0.447</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0.164</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YES - Equal</w:t>
            </w:r>
          </w:p>
        </w:tc>
      </w:tr>
      <w:tr>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Value for Money</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1.054</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0.500</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2.108</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0.147</w:t>
            </w:r>
          </w:p>
        </w:tc>
        <w:tc>
          <w:tcPr>
            <w:tcW w:type="dxa" w:w="1569"/>
            <w:shd w:val="clear" w:color="auto" w:fill="F8F9FA"/>
          </w:tcPr>
          <w:p>
            <w:pPr>
              <w:spacing w:before="40" w:after="40" w:line="264" w:lineRule="auto"/>
              <w:jc w:val="left"/>
            </w:pPr>
            <w:r/>
            <w:r>
              <w:rPr>
                <w:rFonts w:ascii="Calibri" w:hAnsi="Calibri" w:cs="Calibri" w:eastAsia="Calibri"/>
                <w:b w:val="0"/>
                <w:i w:val="0"/>
                <w:color w:val="000000"/>
                <w:sz w:val="17"/>
              </w:rPr>
              <w:t>YES - Equal</w:t>
            </w:r>
          </w:p>
        </w:tc>
      </w:tr>
      <w:tr>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Overall Satisfaction</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0.227</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0.144</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1.570</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0.329</w:t>
            </w:r>
          </w:p>
        </w:tc>
        <w:tc>
          <w:tcPr>
            <w:tcW w:type="dxa" w:w="1569"/>
            <w:shd w:val="clear" w:color="auto" w:fill="FFFFFF"/>
          </w:tcPr>
          <w:p>
            <w:pPr>
              <w:spacing w:before="40" w:after="40" w:line="264" w:lineRule="auto"/>
              <w:jc w:val="left"/>
            </w:pPr>
            <w:r/>
            <w:r>
              <w:rPr>
                <w:rFonts w:ascii="Calibri" w:hAnsi="Calibri" w:cs="Calibri" w:eastAsia="Calibri"/>
                <w:b w:val="0"/>
                <w:i w:val="0"/>
                <w:color w:val="000000"/>
                <w:sz w:val="17"/>
              </w:rPr>
              <w:t>YES - Equal</w:t>
            </w:r>
          </w:p>
        </w:tc>
      </w:tr>
    </w:tbl>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F-TEST CONCLUSION: </w:t>
      </w:r>
      <w:r>
        <w:rPr>
          <w:rFonts w:ascii="Calibri" w:hAnsi="Calibri" w:cs="Calibri" w:eastAsia="Calibri"/>
          <w:b w:val="0"/>
          <w:i/>
          <w:color w:val="000000"/>
          <w:sz w:val="20"/>
        </w:rPr>
        <w:t>Equal variances confirmed for all satisfaction variables (all p&gt;0.05). This validates parametric T-Test assumptions and indicates equal rating dispersion across groups.</w:t>
      </w:r>
    </w:p>
    <w:p>
      <w:pPr>
        <w:spacing w:before="160" w:after="40"/>
        <w:jc w:val="left"/>
      </w:pPr>
      <w:r>
        <w:rPr>
          <w:rFonts w:ascii="Trebuchet MS" w:hAnsi="Trebuchet MS" w:cs="Trebuchet MS" w:eastAsia="Trebuchet MS"/>
          <w:b/>
          <w:i w:val="0"/>
          <w:color w:val="000000"/>
          <w:sz w:val="24"/>
        </w:rPr>
        <w:t>6.4 One-Way ANOVA - Satisfaction Across Plan Types</w:t>
      </w:r>
    </w:p>
    <w:p>
      <w:pPr>
        <w:spacing w:before="0" w:after="60" w:line="276" w:lineRule="auto"/>
        <w:jc w:val="both"/>
      </w:pPr>
      <w:r>
        <w:rPr>
          <w:rFonts w:ascii="Calibri" w:hAnsi="Calibri" w:cs="Calibri" w:eastAsia="Calibri"/>
          <w:b w:val="0"/>
          <w:i w:val="0"/>
          <w:color w:val="000000"/>
          <w:sz w:val="21"/>
        </w:rPr>
        <w:t>ANOVA tested whether satisfaction and renewal intent differ across Monthly, Quarterly, and Annual plan types.</w:t>
      </w:r>
    </w:p>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HYPOTHESIS FRAMEWORK: </w:t>
      </w:r>
      <w:r>
        <w:rPr>
          <w:rFonts w:ascii="Calibri" w:hAnsi="Calibri" w:cs="Calibri" w:eastAsia="Calibri"/>
          <w:b w:val="0"/>
          <w:i/>
          <w:color w:val="000000"/>
          <w:sz w:val="20"/>
        </w:rPr>
        <w:t>H0: Mean scores are EQUAL across all three plan types</w:t>
        <w:br/>
        <w:t>H1: At least one group mean differs significantly (alpha=0.05)</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1345"/>
        <w:gridCol w:w="1345"/>
        <w:gridCol w:w="1345"/>
        <w:gridCol w:w="1345"/>
        <w:gridCol w:w="1345"/>
        <w:gridCol w:w="1345"/>
        <w:gridCol w:w="1345"/>
      </w:tblGrid>
      <w:tr>
        <w:tc>
          <w:tcPr>
            <w:tcW w:type="dxa" w:w="1345"/>
            <w:shd w:val="clear" w:color="auto" w:fill="000000"/>
          </w:tcPr>
          <w:p>
            <w:pPr>
              <w:spacing w:before="60" w:after="60"/>
              <w:jc w:val="center"/>
            </w:pPr>
            <w:r/>
            <w:r>
              <w:rPr>
                <w:rFonts w:ascii="Trebuchet MS" w:hAnsi="Trebuchet MS" w:cs="Trebuchet MS" w:eastAsia="Trebuchet MS"/>
                <w:b/>
                <w:i w:val="0"/>
                <w:color w:val="FFFFFF"/>
                <w:sz w:val="18"/>
              </w:rPr>
              <w:t>Variable</w:t>
            </w:r>
          </w:p>
        </w:tc>
        <w:tc>
          <w:tcPr>
            <w:tcW w:type="dxa" w:w="1345"/>
            <w:shd w:val="clear" w:color="auto" w:fill="000000"/>
          </w:tcPr>
          <w:p>
            <w:pPr>
              <w:spacing w:before="60" w:after="60"/>
              <w:jc w:val="center"/>
            </w:pPr>
            <w:r/>
            <w:r>
              <w:rPr>
                <w:rFonts w:ascii="Trebuchet MS" w:hAnsi="Trebuchet MS" w:cs="Trebuchet MS" w:eastAsia="Trebuchet MS"/>
                <w:b/>
                <w:i w:val="0"/>
                <w:color w:val="FFFFFF"/>
                <w:sz w:val="18"/>
              </w:rPr>
              <w:t>Monthly Mean</w:t>
            </w:r>
          </w:p>
        </w:tc>
        <w:tc>
          <w:tcPr>
            <w:tcW w:type="dxa" w:w="1345"/>
            <w:shd w:val="clear" w:color="auto" w:fill="000000"/>
          </w:tcPr>
          <w:p>
            <w:pPr>
              <w:spacing w:before="60" w:after="60"/>
              <w:jc w:val="center"/>
            </w:pPr>
            <w:r/>
            <w:r>
              <w:rPr>
                <w:rFonts w:ascii="Trebuchet MS" w:hAnsi="Trebuchet MS" w:cs="Trebuchet MS" w:eastAsia="Trebuchet MS"/>
                <w:b/>
                <w:i w:val="0"/>
                <w:color w:val="FFFFFF"/>
                <w:sz w:val="18"/>
              </w:rPr>
              <w:t>Quarterly Mean</w:t>
            </w:r>
          </w:p>
        </w:tc>
        <w:tc>
          <w:tcPr>
            <w:tcW w:type="dxa" w:w="1345"/>
            <w:shd w:val="clear" w:color="auto" w:fill="000000"/>
          </w:tcPr>
          <w:p>
            <w:pPr>
              <w:spacing w:before="60" w:after="60"/>
              <w:jc w:val="center"/>
            </w:pPr>
            <w:r/>
            <w:r>
              <w:rPr>
                <w:rFonts w:ascii="Trebuchet MS" w:hAnsi="Trebuchet MS" w:cs="Trebuchet MS" w:eastAsia="Trebuchet MS"/>
                <w:b/>
                <w:i w:val="0"/>
                <w:color w:val="FFFFFF"/>
                <w:sz w:val="18"/>
              </w:rPr>
              <w:t>Annual Mean</w:t>
            </w:r>
          </w:p>
        </w:tc>
        <w:tc>
          <w:tcPr>
            <w:tcW w:type="dxa" w:w="1345"/>
            <w:shd w:val="clear" w:color="auto" w:fill="000000"/>
          </w:tcPr>
          <w:p>
            <w:pPr>
              <w:spacing w:before="60" w:after="60"/>
              <w:jc w:val="center"/>
            </w:pPr>
            <w:r/>
            <w:r>
              <w:rPr>
                <w:rFonts w:ascii="Trebuchet MS" w:hAnsi="Trebuchet MS" w:cs="Trebuchet MS" w:eastAsia="Trebuchet MS"/>
                <w:b/>
                <w:i w:val="0"/>
                <w:color w:val="FFFFFF"/>
                <w:sz w:val="18"/>
              </w:rPr>
              <w:t>F-stat</w:t>
            </w:r>
          </w:p>
        </w:tc>
        <w:tc>
          <w:tcPr>
            <w:tcW w:type="dxa" w:w="1345"/>
            <w:shd w:val="clear" w:color="auto" w:fill="000000"/>
          </w:tcPr>
          <w:p>
            <w:pPr>
              <w:spacing w:before="60" w:after="60"/>
              <w:jc w:val="center"/>
            </w:pPr>
            <w:r/>
            <w:r>
              <w:rPr>
                <w:rFonts w:ascii="Trebuchet MS" w:hAnsi="Trebuchet MS" w:cs="Trebuchet MS" w:eastAsia="Trebuchet MS"/>
                <w:b/>
                <w:i w:val="0"/>
                <w:color w:val="FFFFFF"/>
                <w:sz w:val="18"/>
              </w:rPr>
              <w:t>p-value</w:t>
            </w:r>
          </w:p>
        </w:tc>
        <w:tc>
          <w:tcPr>
            <w:tcW w:type="dxa" w:w="1345"/>
            <w:shd w:val="clear" w:color="auto" w:fill="000000"/>
          </w:tcPr>
          <w:p>
            <w:pPr>
              <w:spacing w:before="60" w:after="60"/>
              <w:jc w:val="center"/>
            </w:pPr>
            <w:r/>
            <w:r>
              <w:rPr>
                <w:rFonts w:ascii="Trebuchet MS" w:hAnsi="Trebuchet MS" w:cs="Trebuchet MS" w:eastAsia="Trebuchet MS"/>
                <w:b/>
                <w:i w:val="0"/>
                <w:color w:val="FFFFFF"/>
                <w:sz w:val="18"/>
              </w:rPr>
              <w:t>Sig?</w:t>
            </w:r>
          </w:p>
        </w:tc>
      </w:tr>
      <w:tr>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Equipment Satisfaction</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4.28</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4.19</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4.91</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4.344</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0.0186</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YES</w:t>
            </w:r>
          </w:p>
        </w:tc>
      </w:tr>
      <w:tr>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Trainer Rating</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4.56</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4.57</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4.82</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0.759</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0.4738</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NO</w:t>
            </w:r>
          </w:p>
        </w:tc>
      </w:tr>
      <w:tr>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Value for Money</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3.94</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3.76</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4.64</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3.083</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0.0552</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Marginal</w:t>
            </w:r>
          </w:p>
        </w:tc>
      </w:tr>
      <w:tr>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Renewal Intent (1-5)</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4.61</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4.38</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4.73</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0.754</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0.4760</w:t>
            </w:r>
          </w:p>
        </w:tc>
        <w:tc>
          <w:tcPr>
            <w:tcW w:type="dxa" w:w="1345"/>
            <w:shd w:val="clear" w:color="auto" w:fill="FFFFFF"/>
          </w:tcPr>
          <w:p>
            <w:pPr>
              <w:spacing w:before="40" w:after="40" w:line="264" w:lineRule="auto"/>
              <w:jc w:val="left"/>
            </w:pPr>
            <w:r/>
            <w:r>
              <w:rPr>
                <w:rFonts w:ascii="Calibri" w:hAnsi="Calibri" w:cs="Calibri" w:eastAsia="Calibri"/>
                <w:b w:val="0"/>
                <w:i w:val="0"/>
                <w:color w:val="000000"/>
                <w:sz w:val="17"/>
              </w:rPr>
              <w:t>NO</w:t>
            </w:r>
          </w:p>
        </w:tc>
      </w:tr>
      <w:tr>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Overall Satisfaction</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4.37</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4.31</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4.82</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4.887</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0.0118</w:t>
            </w:r>
          </w:p>
        </w:tc>
        <w:tc>
          <w:tcPr>
            <w:tcW w:type="dxa" w:w="1345"/>
            <w:shd w:val="clear" w:color="auto" w:fill="F8F9FA"/>
          </w:tcPr>
          <w:p>
            <w:pPr>
              <w:spacing w:before="40" w:after="40" w:line="264" w:lineRule="auto"/>
              <w:jc w:val="left"/>
            </w:pPr>
            <w:r/>
            <w:r>
              <w:rPr>
                <w:rFonts w:ascii="Calibri" w:hAnsi="Calibri" w:cs="Calibri" w:eastAsia="Calibri"/>
                <w:b w:val="0"/>
                <w:i w:val="0"/>
                <w:color w:val="000000"/>
                <w:sz w:val="17"/>
              </w:rPr>
              <w:t>YES</w:t>
            </w:r>
          </w:p>
        </w:tc>
      </w:tr>
    </w:tbl>
    <w:p>
      <w:pPr>
        <w:spacing w:before="80" w:after="40"/>
        <w:jc w:val="center"/>
      </w:pPr>
      <w:r>
        <w:drawing>
          <wp:inline xmlns:a="http://schemas.openxmlformats.org/drawingml/2006/main" xmlns:pic="http://schemas.openxmlformats.org/drawingml/2006/picture">
            <wp:extent cx="5029200" cy="2019186"/>
            <wp:docPr id="9" name="Picture 9"/>
            <wp:cNvGraphicFramePr>
              <a:graphicFrameLocks noChangeAspect="1"/>
            </wp:cNvGraphicFramePr>
            <a:graphic>
              <a:graphicData uri="http://schemas.openxmlformats.org/drawingml/2006/picture">
                <pic:pic>
                  <pic:nvPicPr>
                    <pic:cNvPr id="0" name="survey_anova_chart.png"/>
                    <pic:cNvPicPr/>
                  </pic:nvPicPr>
                  <pic:blipFill>
                    <a:blip r:embed="rId17"/>
                    <a:stretch>
                      <a:fillRect/>
                    </a:stretch>
                  </pic:blipFill>
                  <pic:spPr>
                    <a:xfrm>
                      <a:off x="0" y="0"/>
                      <a:ext cx="5029200" cy="2019186"/>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6.2:</w:t>
      </w:r>
      <w:r>
        <w:rPr>
          <w:rFonts w:ascii="Calibri" w:hAnsi="Calibri" w:cs="Calibri" w:eastAsia="Calibri"/>
          <w:b w:val="0"/>
          <w:i/>
          <w:color w:val="505050"/>
          <w:sz w:val="18"/>
        </w:rPr>
        <w:t xml:space="preserve"> ANOVA - Satisfaction Scores by Plan Type. Error bars = +/-1 Standard Error.</w:t>
      </w:r>
    </w:p>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ANOVA INTERPRETATION: </w:t>
      </w:r>
      <w:r>
        <w:rPr>
          <w:rFonts w:ascii="Calibri" w:hAnsi="Calibri" w:cs="Calibri" w:eastAsia="Calibri"/>
          <w:b w:val="0"/>
          <w:i/>
          <w:color w:val="000000"/>
          <w:sz w:val="20"/>
        </w:rPr>
        <w:t>Annual plan members rate Equipment Satisfaction (F=4.34, p=0.019) and Overall Satisfaction (F=4.89, p=0.012) significantly higher. This strongly supports strategies to migrate monthly members to longer commitments.</w:t>
      </w:r>
    </w:p>
    <w:p>
      <w:pPr>
        <w:spacing w:before="160" w:after="40"/>
        <w:jc w:val="left"/>
      </w:pPr>
      <w:r>
        <w:rPr>
          <w:rFonts w:ascii="Trebuchet MS" w:hAnsi="Trebuchet MS" w:cs="Trebuchet MS" w:eastAsia="Trebuchet MS"/>
          <w:b/>
          <w:i w:val="0"/>
          <w:color w:val="000000"/>
          <w:sz w:val="24"/>
        </w:rPr>
        <w:t>6.5 Box Plot Comparisons</w:t>
      </w:r>
    </w:p>
    <w:p>
      <w:pPr>
        <w:spacing w:before="0" w:after="60" w:line="276" w:lineRule="auto"/>
        <w:jc w:val="both"/>
      </w:pPr>
      <w:r>
        <w:rPr>
          <w:rFonts w:ascii="Calibri" w:hAnsi="Calibri" w:cs="Calibri" w:eastAsia="Calibri"/>
          <w:b w:val="0"/>
          <w:i w:val="0"/>
          <w:color w:val="000000"/>
          <w:sz w:val="21"/>
        </w:rPr>
        <w:t>Box plots display median, IQR, whiskers, and outliers simultaneously, making group differences immediately apparent across satisfaction dimensions:</w:t>
      </w:r>
    </w:p>
    <w:p>
      <w:pPr>
        <w:spacing w:before="80" w:after="40"/>
        <w:jc w:val="center"/>
      </w:pPr>
      <w:r>
        <w:drawing>
          <wp:inline xmlns:a="http://schemas.openxmlformats.org/drawingml/2006/main" xmlns:pic="http://schemas.openxmlformats.org/drawingml/2006/picture">
            <wp:extent cx="5120640" cy="3611198"/>
            <wp:docPr id="10" name="Picture 10"/>
            <wp:cNvGraphicFramePr>
              <a:graphicFrameLocks noChangeAspect="1"/>
            </wp:cNvGraphicFramePr>
            <a:graphic>
              <a:graphicData uri="http://schemas.openxmlformats.org/drawingml/2006/picture">
                <pic:pic>
                  <pic:nvPicPr>
                    <pic:cNvPr id="0" name="survey_box_plots.png"/>
                    <pic:cNvPicPr/>
                  </pic:nvPicPr>
                  <pic:blipFill>
                    <a:blip r:embed="rId18"/>
                    <a:stretch>
                      <a:fillRect/>
                    </a:stretch>
                  </pic:blipFill>
                  <pic:spPr>
                    <a:xfrm>
                      <a:off x="0" y="0"/>
                      <a:ext cx="5120640" cy="3611198"/>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6.3:</w:t>
      </w:r>
      <w:r>
        <w:rPr>
          <w:rFonts w:ascii="Calibri" w:hAnsi="Calibri" w:cs="Calibri" w:eastAsia="Calibri"/>
          <w:b w:val="0"/>
          <w:i/>
          <w:color w:val="505050"/>
          <w:sz w:val="18"/>
        </w:rPr>
        <w:t xml:space="preserve"> Survey Box Plots - Satisfaction Dimensions: Likely vs Unlikely Renewers (n=50)</w:t>
      </w:r>
    </w:p>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BOX PLOT INSIGHT: </w:t>
      </w:r>
      <w:r>
        <w:rPr>
          <w:rFonts w:ascii="Calibri" w:hAnsi="Calibri" w:cs="Calibri" w:eastAsia="Calibri"/>
          <w:b w:val="0"/>
          <w:i/>
          <w:color w:val="000000"/>
          <w:sz w:val="20"/>
        </w:rPr>
        <w:t>Likely Renewers consistently score higher across all dimensions. Value for Money exhibits the widest separation between groups, making it the primary perceptual discriminator.</w:t>
      </w:r>
    </w:p>
    <w:p>
      <w:pPr>
        <w:spacing w:before="160" w:after="40"/>
        <w:jc w:val="left"/>
      </w:pPr>
      <w:r>
        <w:rPr>
          <w:rFonts w:ascii="Trebuchet MS" w:hAnsi="Trebuchet MS" w:cs="Trebuchet MS" w:eastAsia="Trebuchet MS"/>
          <w:b/>
          <w:i w:val="0"/>
          <w:color w:val="000000"/>
          <w:sz w:val="24"/>
        </w:rPr>
        <w:t>6.6 Correlation &amp; Regression Analysis</w:t>
      </w:r>
    </w:p>
    <w:p>
      <w:pPr>
        <w:spacing w:before="80" w:after="40"/>
        <w:jc w:val="center"/>
      </w:pPr>
      <w:r>
        <w:drawing>
          <wp:inline xmlns:a="http://schemas.openxmlformats.org/drawingml/2006/main" xmlns:pic="http://schemas.openxmlformats.org/drawingml/2006/picture">
            <wp:extent cx="4389120" cy="4089009"/>
            <wp:docPr id="11" name="Picture 11"/>
            <wp:cNvGraphicFramePr>
              <a:graphicFrameLocks noChangeAspect="1"/>
            </wp:cNvGraphicFramePr>
            <a:graphic>
              <a:graphicData uri="http://schemas.openxmlformats.org/drawingml/2006/picture">
                <pic:pic>
                  <pic:nvPicPr>
                    <pic:cNvPr id="0" name="correlation_matrix.png"/>
                    <pic:cNvPicPr/>
                  </pic:nvPicPr>
                  <pic:blipFill>
                    <a:blip r:embed="rId19"/>
                    <a:stretch>
                      <a:fillRect/>
                    </a:stretch>
                  </pic:blipFill>
                  <pic:spPr>
                    <a:xfrm>
                      <a:off x="0" y="0"/>
                      <a:ext cx="4389120" cy="4089009"/>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6.4:</w:t>
      </w:r>
      <w:r>
        <w:rPr>
          <w:rFonts w:ascii="Calibri" w:hAnsi="Calibri" w:cs="Calibri" w:eastAsia="Calibri"/>
          <w:b w:val="0"/>
          <w:i/>
          <w:color w:val="505050"/>
          <w:sz w:val="18"/>
        </w:rPr>
        <w:t xml:space="preserve"> Correlation Matrix Heatmap - Pairwise correlations between key membership variables</w:t>
      </w:r>
    </w:p>
    <w:p>
      <w:pPr>
        <w:spacing w:before="80" w:after="40"/>
        <w:jc w:val="center"/>
      </w:pPr>
      <w:r>
        <w:drawing>
          <wp:inline xmlns:a="http://schemas.openxmlformats.org/drawingml/2006/main" xmlns:pic="http://schemas.openxmlformats.org/drawingml/2006/picture">
            <wp:extent cx="4114800" cy="2446638"/>
            <wp:docPr id="12" name="Picture 12"/>
            <wp:cNvGraphicFramePr>
              <a:graphicFrameLocks noChangeAspect="1"/>
            </wp:cNvGraphicFramePr>
            <a:graphic>
              <a:graphicData uri="http://schemas.openxmlformats.org/drawingml/2006/picture">
                <pic:pic>
                  <pic:nvPicPr>
                    <pic:cNvPr id="0" name="scatter_amount_vs_duration.png"/>
                    <pic:cNvPicPr/>
                  </pic:nvPicPr>
                  <pic:blipFill>
                    <a:blip r:embed="rId20"/>
                    <a:stretch>
                      <a:fillRect/>
                    </a:stretch>
                  </pic:blipFill>
                  <pic:spPr>
                    <a:xfrm>
                      <a:off x="0" y="0"/>
                      <a:ext cx="4114800" cy="2446638"/>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6.5:</w:t>
      </w:r>
      <w:r>
        <w:rPr>
          <w:rFonts w:ascii="Calibri" w:hAnsi="Calibri" w:cs="Calibri" w:eastAsia="Calibri"/>
          <w:b w:val="0"/>
          <w:i/>
          <w:color w:val="505050"/>
          <w:sz w:val="18"/>
        </w:rPr>
        <w:t xml:space="preserve"> Scatter Plot - Plan Amount vs Membership Duration, coloured by Churn Status</w:t>
      </w:r>
    </w:p>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CORRELATION FINDINGS: </w:t>
      </w:r>
      <w:r>
        <w:rPr>
          <w:rFonts w:ascii="Calibri" w:hAnsi="Calibri" w:cs="Calibri" w:eastAsia="Calibri"/>
          <w:b w:val="0"/>
          <w:i/>
          <w:color w:val="000000"/>
          <w:sz w:val="20"/>
        </w:rPr>
        <w:t>Strong positive correlation (r&gt;0.7) between membership duration and plan amount. Higher-value commitments correlate with longer tenure. Payment gap shows negative correlation with retention.</w:t>
      </w:r>
    </w:p>
    <w:p>
      <w:pPr>
        <w:spacing w:before="160" w:after="40"/>
        <w:jc w:val="left"/>
      </w:pPr>
      <w:r>
        <w:rPr>
          <w:rFonts w:ascii="Trebuchet MS" w:hAnsi="Trebuchet MS" w:cs="Trebuchet MS" w:eastAsia="Trebuchet MS"/>
          <w:b/>
          <w:i w:val="0"/>
          <w:color w:val="000000"/>
          <w:sz w:val="24"/>
        </w:rPr>
        <w:t>6.7 Fishbone (Ishikawa) Diagram</w:t>
      </w:r>
    </w:p>
    <w:p>
      <w:pPr>
        <w:spacing w:before="0" w:after="60" w:line="276" w:lineRule="auto"/>
        <w:jc w:val="both"/>
      </w:pPr>
      <w:r>
        <w:rPr>
          <w:rFonts w:ascii="Calibri" w:hAnsi="Calibri" w:cs="Calibri" w:eastAsia="Calibri"/>
          <w:b w:val="0"/>
          <w:i w:val="0"/>
          <w:color w:val="000000"/>
          <w:sz w:val="21"/>
        </w:rPr>
        <w:t>The Fishbone Diagram categorises potential root causes of member churn into six major categories (People, Process, Policy, Equipment, Promotion, Price):</w:t>
      </w:r>
    </w:p>
    <w:p>
      <w:pPr>
        <w:spacing w:before="80" w:after="40"/>
        <w:jc w:val="center"/>
      </w:pPr>
      <w:r>
        <w:drawing>
          <wp:inline xmlns:a="http://schemas.openxmlformats.org/drawingml/2006/main" xmlns:pic="http://schemas.openxmlformats.org/drawingml/2006/picture">
            <wp:extent cx="5120640" cy="2827816"/>
            <wp:docPr id="13" name="Picture 13"/>
            <wp:cNvGraphicFramePr>
              <a:graphicFrameLocks noChangeAspect="1"/>
            </wp:cNvGraphicFramePr>
            <a:graphic>
              <a:graphicData uri="http://schemas.openxmlformats.org/drawingml/2006/picture">
                <pic:pic>
                  <pic:nvPicPr>
                    <pic:cNvPr id="0" name="fishbone_diagram.png"/>
                    <pic:cNvPicPr/>
                  </pic:nvPicPr>
                  <pic:blipFill>
                    <a:blip r:embed="rId21"/>
                    <a:stretch>
                      <a:fillRect/>
                    </a:stretch>
                  </pic:blipFill>
                  <pic:spPr>
                    <a:xfrm>
                      <a:off x="0" y="0"/>
                      <a:ext cx="5120640" cy="2827816"/>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6.6:</w:t>
      </w:r>
      <w:r>
        <w:rPr>
          <w:rFonts w:ascii="Calibri" w:hAnsi="Calibri" w:cs="Calibri" w:eastAsia="Calibri"/>
          <w:b w:val="0"/>
          <w:i/>
          <w:color w:val="505050"/>
          <w:sz w:val="18"/>
        </w:rPr>
        <w:t xml:space="preserve"> Fishbone Diagram - Root Cause Analysis of Member Churn</w:t>
      </w:r>
    </w:p>
    <w:p>
      <w:pPr>
        <w:pStyle w:val="ListBullet"/>
        <w:spacing w:before="0" w:after="40" w:line="276" w:lineRule="auto"/>
        <w:jc w:val="left"/>
      </w:pPr>
      <w:r>
        <w:rPr>
          <w:rFonts w:ascii="Calibri" w:hAnsi="Calibri" w:cs="Calibri" w:eastAsia="Calibri"/>
          <w:b w:val="0"/>
          <w:i w:val="0"/>
          <w:color w:val="000000"/>
          <w:sz w:val="20"/>
        </w:rPr>
        <w:t>PEOPLE: Trainer-member engagement gaps; lack of personalised attention for non-PT members</w:t>
      </w:r>
    </w:p>
    <w:p>
      <w:pPr>
        <w:pStyle w:val="ListBullet"/>
        <w:spacing w:before="0" w:after="40" w:line="276" w:lineRule="auto"/>
        <w:jc w:val="left"/>
      </w:pPr>
      <w:r>
        <w:rPr>
          <w:rFonts w:ascii="Calibri" w:hAnsi="Calibri" w:cs="Calibri" w:eastAsia="Calibri"/>
          <w:b w:val="0"/>
          <w:i w:val="0"/>
          <w:color w:val="000000"/>
          <w:sz w:val="20"/>
        </w:rPr>
        <w:t>PROCESS: Absence of structured onboarding; no automated renewal reminder system</w:t>
      </w:r>
    </w:p>
    <w:p>
      <w:pPr>
        <w:pStyle w:val="ListBullet"/>
        <w:spacing w:before="0" w:after="40" w:line="276" w:lineRule="auto"/>
        <w:jc w:val="left"/>
      </w:pPr>
      <w:r>
        <w:rPr>
          <w:rFonts w:ascii="Calibri" w:hAnsi="Calibri" w:cs="Calibri" w:eastAsia="Calibri"/>
          <w:b w:val="0"/>
          <w:i w:val="0"/>
          <w:color w:val="000000"/>
          <w:sz w:val="20"/>
        </w:rPr>
        <w:t>POLICY: No upgrade incentives; absence of membership freeze/pause policy during travel</w:t>
      </w:r>
    </w:p>
    <w:p>
      <w:pPr>
        <w:pStyle w:val="ListBullet"/>
        <w:spacing w:before="0" w:after="40" w:line="276" w:lineRule="auto"/>
        <w:jc w:val="left"/>
      </w:pPr>
      <w:r>
        <w:rPr>
          <w:rFonts w:ascii="Calibri" w:hAnsi="Calibri" w:cs="Calibri" w:eastAsia="Calibri"/>
          <w:b w:val="0"/>
          <w:i w:val="0"/>
          <w:color w:val="000000"/>
          <w:sz w:val="20"/>
        </w:rPr>
        <w:t>EQUIPMENT: Machine unavailability and long wait times during evening peak hours</w:t>
      </w:r>
    </w:p>
    <w:p>
      <w:pPr>
        <w:pStyle w:val="ListBullet"/>
        <w:spacing w:before="0" w:after="40" w:line="276" w:lineRule="auto"/>
        <w:jc w:val="left"/>
      </w:pPr>
      <w:r>
        <w:rPr>
          <w:rFonts w:ascii="Calibri" w:hAnsi="Calibri" w:cs="Calibri" w:eastAsia="Calibri"/>
          <w:b w:val="0"/>
          <w:i w:val="0"/>
          <w:color w:val="000000"/>
          <w:sz w:val="20"/>
        </w:rPr>
        <w:t>PROMOTION: No loyalty discounts for long tenure; lack of referral incentives</w:t>
      </w:r>
    </w:p>
    <w:p>
      <w:pPr>
        <w:pStyle w:val="ListBullet"/>
        <w:spacing w:before="0" w:after="40" w:line="276" w:lineRule="auto"/>
        <w:jc w:val="left"/>
      </w:pPr>
      <w:r>
        <w:rPr>
          <w:rFonts w:ascii="Calibri" w:hAnsi="Calibri" w:cs="Calibri" w:eastAsia="Calibri"/>
          <w:b w:val="0"/>
          <w:i w:val="0"/>
          <w:color w:val="000000"/>
          <w:sz w:val="20"/>
        </w:rPr>
        <w:t>PRICE: Perceived value mismatch for monthly plan members relative to features</w:t>
      </w:r>
    </w:p>
    <w:p>
      <w:pPr>
        <w:spacing w:before="160" w:after="40"/>
        <w:jc w:val="left"/>
      </w:pPr>
      <w:r>
        <w:rPr>
          <w:rFonts w:ascii="Trebuchet MS" w:hAnsi="Trebuchet MS" w:cs="Trebuchet MS" w:eastAsia="Trebuchet MS"/>
          <w:b/>
          <w:i w:val="0"/>
          <w:color w:val="000000"/>
          <w:sz w:val="24"/>
        </w:rPr>
        <w:t>6.8 5-Whys Root Cause Analysis</w:t>
      </w:r>
    </w:p>
    <w:p>
      <w:pPr>
        <w:spacing w:before="80" w:after="40"/>
        <w:jc w:val="center"/>
      </w:pPr>
      <w:r>
        <w:drawing>
          <wp:inline xmlns:a="http://schemas.openxmlformats.org/drawingml/2006/main" xmlns:pic="http://schemas.openxmlformats.org/drawingml/2006/picture">
            <wp:extent cx="5120640" cy="3638349"/>
            <wp:docPr id="14" name="Picture 14"/>
            <wp:cNvGraphicFramePr>
              <a:graphicFrameLocks noChangeAspect="1"/>
            </wp:cNvGraphicFramePr>
            <a:graphic>
              <a:graphicData uri="http://schemas.openxmlformats.org/drawingml/2006/picture">
                <pic:pic>
                  <pic:nvPicPr>
                    <pic:cNvPr id="0" name="five_whys_analysis.png"/>
                    <pic:cNvPicPr/>
                  </pic:nvPicPr>
                  <pic:blipFill>
                    <a:blip r:embed="rId22"/>
                    <a:stretch>
                      <a:fillRect/>
                    </a:stretch>
                  </pic:blipFill>
                  <pic:spPr>
                    <a:xfrm>
                      <a:off x="0" y="0"/>
                      <a:ext cx="5120640" cy="3638349"/>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6.7:</w:t>
      </w:r>
      <w:r>
        <w:rPr>
          <w:rFonts w:ascii="Calibri" w:hAnsi="Calibri" w:cs="Calibri" w:eastAsia="Calibri"/>
          <w:b w:val="0"/>
          <w:i/>
          <w:color w:val="505050"/>
          <w:sz w:val="18"/>
        </w:rPr>
        <w:t xml:space="preserve"> 5-Whys Analysis - Drilling to root causes of member churn</w:t>
      </w:r>
    </w:p>
    <w:p>
      <w:pPr>
        <w:pStyle w:val="ListBullet"/>
        <w:spacing w:before="0" w:after="40" w:line="276" w:lineRule="auto"/>
        <w:jc w:val="left"/>
      </w:pPr>
      <w:r>
        <w:rPr>
          <w:rFonts w:ascii="Calibri" w:hAnsi="Calibri" w:cs="Calibri" w:eastAsia="Calibri"/>
          <w:b w:val="0"/>
          <w:i w:val="0"/>
          <w:color w:val="000000"/>
          <w:sz w:val="20"/>
        </w:rPr>
        <w:t>Branch 1: No CRM automation = members forget to renew (Root: complete absence of reminder system)</w:t>
      </w:r>
    </w:p>
    <w:p>
      <w:pPr>
        <w:pStyle w:val="ListBullet"/>
        <w:spacing w:before="0" w:after="40" w:line="276" w:lineRule="auto"/>
        <w:jc w:val="left"/>
      </w:pPr>
      <w:r>
        <w:rPr>
          <w:rFonts w:ascii="Calibri" w:hAnsi="Calibri" w:cs="Calibri" w:eastAsia="Calibri"/>
          <w:b w:val="0"/>
          <w:i w:val="0"/>
          <w:color w:val="000000"/>
          <w:sz w:val="20"/>
        </w:rPr>
        <w:t>Branch 2: No crowd management = peak-hour frustration leads to churn (Root: no capacity tracking)</w:t>
      </w:r>
    </w:p>
    <w:p>
      <w:pPr>
        <w:pStyle w:val="ListBullet"/>
        <w:spacing w:before="0" w:after="40" w:line="276" w:lineRule="auto"/>
        <w:jc w:val="left"/>
      </w:pPr>
      <w:r>
        <w:rPr>
          <w:rFonts w:ascii="Calibri" w:hAnsi="Calibri" w:cs="Calibri" w:eastAsia="Calibri"/>
          <w:b w:val="0"/>
          <w:i w:val="0"/>
          <w:color w:val="000000"/>
          <w:sz w:val="20"/>
        </w:rPr>
        <w:t>Branch 3: No goal tracking = member sees no progress and quits (Root: no fitness assessment cadence)</w:t>
      </w:r>
    </w:p>
    <w:p>
      <w:pPr>
        <w:spacing w:before="160" w:after="40"/>
        <w:jc w:val="left"/>
      </w:pPr>
      <w:r>
        <w:rPr>
          <w:rFonts w:ascii="Trebuchet MS" w:hAnsi="Trebuchet MS" w:cs="Trebuchet MS" w:eastAsia="Trebuchet MS"/>
          <w:b/>
          <w:i w:val="0"/>
          <w:color w:val="000000"/>
          <w:sz w:val="24"/>
        </w:rPr>
        <w:t>6.9 Voice of Customer (VOC) &amp; Reviews Analysis</w:t>
      </w:r>
    </w:p>
    <w:p>
      <w:pPr>
        <w:spacing w:before="80" w:after="40"/>
        <w:jc w:val="center"/>
      </w:pPr>
      <w:r>
        <w:drawing>
          <wp:inline xmlns:a="http://schemas.openxmlformats.org/drawingml/2006/main" xmlns:pic="http://schemas.openxmlformats.org/drawingml/2006/picture">
            <wp:extent cx="4937760" cy="1700579"/>
            <wp:docPr id="15" name="Picture 15"/>
            <wp:cNvGraphicFramePr>
              <a:graphicFrameLocks noChangeAspect="1"/>
            </wp:cNvGraphicFramePr>
            <a:graphic>
              <a:graphicData uri="http://schemas.openxmlformats.org/drawingml/2006/picture">
                <pic:pic>
                  <pic:nvPicPr>
                    <pic:cNvPr id="0" name="voc_reviews_analysis.png"/>
                    <pic:cNvPicPr/>
                  </pic:nvPicPr>
                  <pic:blipFill>
                    <a:blip r:embed="rId23"/>
                    <a:stretch>
                      <a:fillRect/>
                    </a:stretch>
                  </pic:blipFill>
                  <pic:spPr>
                    <a:xfrm>
                      <a:off x="0" y="0"/>
                      <a:ext cx="4937760" cy="1700579"/>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6.8:</w:t>
      </w:r>
      <w:r>
        <w:rPr>
          <w:rFonts w:ascii="Calibri" w:hAnsi="Calibri" w:cs="Calibri" w:eastAsia="Calibri"/>
          <w:b w:val="0"/>
          <w:i/>
          <w:color w:val="505050"/>
          <w:sz w:val="18"/>
        </w:rPr>
        <w:t xml:space="preserve"> VOC Analysis - Sentiment from member reviews (positive/negative theme frequency)</w:t>
      </w:r>
    </w:p>
    <w:p>
      <w:pPr>
        <w:spacing w:before="80" w:after="40"/>
        <w:jc w:val="center"/>
      </w:pPr>
      <w:r>
        <w:drawing>
          <wp:inline xmlns:a="http://schemas.openxmlformats.org/drawingml/2006/main" xmlns:pic="http://schemas.openxmlformats.org/drawingml/2006/picture">
            <wp:extent cx="4389120" cy="1511626"/>
            <wp:docPr id="16" name="Picture 16"/>
            <wp:cNvGraphicFramePr>
              <a:graphicFrameLocks noChangeAspect="1"/>
            </wp:cNvGraphicFramePr>
            <a:graphic>
              <a:graphicData uri="http://schemas.openxmlformats.org/drawingml/2006/picture">
                <pic:pic>
                  <pic:nvPicPr>
                    <pic:cNvPr id="0" name="churn_rate_comparison.png"/>
                    <pic:cNvPicPr/>
                  </pic:nvPicPr>
                  <pic:blipFill>
                    <a:blip r:embed="rId24"/>
                    <a:stretch>
                      <a:fillRect/>
                    </a:stretch>
                  </pic:blipFill>
                  <pic:spPr>
                    <a:xfrm>
                      <a:off x="0" y="0"/>
                      <a:ext cx="4389120" cy="1511626"/>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6.9:</w:t>
      </w:r>
      <w:r>
        <w:rPr>
          <w:rFonts w:ascii="Calibri" w:hAnsi="Calibri" w:cs="Calibri" w:eastAsia="Calibri"/>
          <w:b w:val="0"/>
          <w:i/>
          <w:color w:val="505050"/>
          <w:sz w:val="18"/>
        </w:rPr>
        <w:t xml:space="preserve"> Churn Rate Comparison by Plan Type and Duration Category</w:t>
      </w:r>
    </w:p>
    <w:p>
      <w:pPr>
        <w:spacing w:before="80" w:after="40"/>
        <w:jc w:val="center"/>
      </w:pPr>
      <w:r>
        <w:drawing>
          <wp:inline xmlns:a="http://schemas.openxmlformats.org/drawingml/2006/main" xmlns:pic="http://schemas.openxmlformats.org/drawingml/2006/picture">
            <wp:extent cx="4389120" cy="1563550"/>
            <wp:docPr id="17" name="Picture 17"/>
            <wp:cNvGraphicFramePr>
              <a:graphicFrameLocks noChangeAspect="1"/>
            </wp:cNvGraphicFramePr>
            <a:graphic>
              <a:graphicData uri="http://schemas.openxmlformats.org/drawingml/2006/picture">
                <pic:pic>
                  <pic:nvPicPr>
                    <pic:cNvPr id="0" name="pt_trainer_analysis.png"/>
                    <pic:cNvPicPr/>
                  </pic:nvPicPr>
                  <pic:blipFill>
                    <a:blip r:embed="rId25"/>
                    <a:stretch>
                      <a:fillRect/>
                    </a:stretch>
                  </pic:blipFill>
                  <pic:spPr>
                    <a:xfrm>
                      <a:off x="0" y="0"/>
                      <a:ext cx="4389120" cy="1563550"/>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6.10:</w:t>
      </w:r>
      <w:r>
        <w:rPr>
          <w:rFonts w:ascii="Calibri" w:hAnsi="Calibri" w:cs="Calibri" w:eastAsia="Calibri"/>
          <w:b w:val="0"/>
          <w:i/>
          <w:color w:val="505050"/>
          <w:sz w:val="18"/>
        </w:rPr>
        <w:t xml:space="preserve"> Personal Training Enrollment and Impact on Retention</w:t>
      </w:r>
    </w:p>
    <w:p>
      <w:pPr>
        <w:spacing w:before="160" w:after="40"/>
        <w:jc w:val="left"/>
      </w:pPr>
      <w:r>
        <w:rPr>
          <w:rFonts w:ascii="Trebuchet MS" w:hAnsi="Trebuchet MS" w:cs="Trebuchet MS" w:eastAsia="Trebuchet MS"/>
          <w:b/>
          <w:i w:val="0"/>
          <w:color w:val="000000"/>
          <w:sz w:val="24"/>
        </w:rPr>
        <w:t>6.10 Survey Data Analysis - 50 Member Responses</w:t>
      </w:r>
    </w:p>
    <w:p>
      <w:pPr>
        <w:spacing w:before="0" w:after="60" w:line="276" w:lineRule="auto"/>
        <w:jc w:val="both"/>
      </w:pPr>
      <w:r>
        <w:rPr>
          <w:rFonts w:ascii="Calibri" w:hAnsi="Calibri" w:cs="Calibri" w:eastAsia="Calibri"/>
          <w:b w:val="0"/>
          <w:i w:val="0"/>
          <w:color w:val="000000"/>
          <w:sz w:val="21"/>
        </w:rPr>
        <w:t>A structured Member Experience Survey (50 responses, 23 variables) captured primary data on satisfaction, renewal intent (1-5 Likert), NPS, churn reasons, and retention preferences. Members scoring &gt;=4 = Likely Renewers; &lt;4 = Unlikely Renewers.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4706"/>
        <w:gridCol w:w="4706"/>
      </w:tblGrid>
      <w:tr>
        <w:tc>
          <w:tcPr>
            <w:tcW w:type="dxa" w:w="4752"/>
            <w:shd w:val="clear" w:color="auto" w:fill="000000"/>
          </w:tcPr>
          <w:p>
            <w:pPr>
              <w:spacing w:before="60" w:after="60"/>
              <w:jc w:val="center"/>
            </w:pPr>
            <w:r/>
            <w:r>
              <w:rPr>
                <w:rFonts w:ascii="Trebuchet MS" w:hAnsi="Trebuchet MS" w:cs="Trebuchet MS" w:eastAsia="Trebuchet MS"/>
                <w:b/>
                <w:i w:val="0"/>
                <w:color w:val="FFFFFF"/>
                <w:sz w:val="18"/>
              </w:rPr>
              <w:t>Survey Metric</w:t>
            </w:r>
          </w:p>
        </w:tc>
        <w:tc>
          <w:tcPr>
            <w:tcW w:type="dxa" w:w="4752"/>
            <w:shd w:val="clear" w:color="auto" w:fill="000000"/>
          </w:tcPr>
          <w:p>
            <w:pPr>
              <w:spacing w:before="60" w:after="60"/>
              <w:jc w:val="center"/>
            </w:pPr>
            <w:r/>
            <w:r>
              <w:rPr>
                <w:rFonts w:ascii="Trebuchet MS" w:hAnsi="Trebuchet MS" w:cs="Trebuchet MS" w:eastAsia="Trebuchet MS"/>
                <w:b/>
                <w:i w:val="0"/>
                <w:color w:val="FFFFFF"/>
                <w:sz w:val="18"/>
              </w:rPr>
              <w:t>Result</w:t>
            </w:r>
          </w:p>
        </w:tc>
      </w:tr>
      <w:tr>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Total Responses</w:t>
            </w:r>
          </w:p>
        </w:tc>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50</w:t>
            </w:r>
          </w:p>
        </w:tc>
      </w:tr>
      <w:tr>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Likely Renewers (Intent &gt;= 4 on 1-5 scale)</w:t>
            </w:r>
          </w:p>
        </w:tc>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40 (80%)</w:t>
            </w:r>
          </w:p>
        </w:tc>
      </w:tr>
      <w:tr>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Unlikely Renewers (Intent &lt; 4)</w:t>
            </w:r>
          </w:p>
        </w:tc>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10 (20%)</w:t>
            </w:r>
          </w:p>
        </w:tc>
      </w:tr>
      <w:tr>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Mean Renewal Intent</w:t>
            </w:r>
          </w:p>
        </w:tc>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4.54 / 5.00</w:t>
            </w:r>
          </w:p>
        </w:tc>
      </w:tr>
      <w:tr>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Net Promoter Score (NPS)</w:t>
            </w:r>
          </w:p>
        </w:tc>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+44</w:t>
            </w:r>
          </w:p>
        </w:tc>
      </w:tr>
      <w:tr>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Promoters (NPS 9-10)</w:t>
            </w:r>
          </w:p>
        </w:tc>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28 (56%)</w:t>
            </w:r>
          </w:p>
        </w:tc>
      </w:tr>
      <w:tr>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Passives (NPS 7-8)</w:t>
            </w:r>
          </w:p>
        </w:tc>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16 (32%)</w:t>
            </w:r>
          </w:p>
        </w:tc>
      </w:tr>
      <w:tr>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Detractors (NPS 0-6)</w:t>
            </w:r>
          </w:p>
        </w:tc>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6 (12%)</w:t>
            </w:r>
          </w:p>
        </w:tc>
      </w:tr>
      <w:tr>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Mean Equipment Satisfaction</w:t>
            </w:r>
          </w:p>
        </w:tc>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4.38 / 5.00</w:t>
            </w:r>
          </w:p>
        </w:tc>
      </w:tr>
      <w:tr>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Mean Hygiene Satisfaction</w:t>
            </w:r>
          </w:p>
        </w:tc>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4.78 / 5.00</w:t>
            </w:r>
          </w:p>
        </w:tc>
      </w:tr>
      <w:tr>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Mean Trainer Rating</w:t>
            </w:r>
          </w:p>
        </w:tc>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4.62 / 5.00</w:t>
            </w:r>
          </w:p>
        </w:tc>
      </w:tr>
      <w:tr>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Mean Value for Money</w:t>
            </w:r>
          </w:p>
        </w:tc>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4.02 / 5.00 (lowest - key pain point)</w:t>
            </w:r>
          </w:p>
        </w:tc>
      </w:tr>
      <w:tr>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Mean Overall Satisfaction</w:t>
            </w:r>
          </w:p>
        </w:tc>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4.44 / 5.00</w:t>
            </w:r>
          </w:p>
        </w:tc>
      </w:tr>
      <w:tr>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Annual Plan - Overall Satisfaction</w:t>
            </w:r>
          </w:p>
        </w:tc>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4.82 / 5.00 (ANOVA: F=4.89, p=0.012)</w:t>
            </w:r>
          </w:p>
        </w:tc>
      </w:tr>
      <w:tr>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ANOVA: Equipment Satisfaction</w:t>
            </w:r>
          </w:p>
        </w:tc>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F=4.34, p=0.019 (Annual significantly higher)</w:t>
            </w:r>
          </w:p>
        </w:tc>
      </w:tr>
      <w:tr>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Top Churn Reason</w:t>
            </w:r>
          </w:p>
        </w:tc>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Moving Away / Relocating</w:t>
            </w:r>
          </w:p>
        </w:tc>
      </w:tr>
      <w:tr>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#2 Churn Reason</w:t>
            </w:r>
          </w:p>
        </w:tc>
        <w:tc>
          <w:tcPr>
            <w:tcW w:type="dxa" w:w="4752"/>
            <w:shd w:val="clear" w:color="auto" w:fill="F8F9FA"/>
          </w:tcPr>
          <w:p>
            <w:pPr>
              <w:spacing w:before="40" w:after="40" w:line="264" w:lineRule="auto"/>
              <w:jc w:val="left"/>
            </w:pPr>
            <w:r/>
            <w:r>
              <w:rPr>
                <w:rFonts w:ascii="Calibri" w:hAnsi="Calibri" w:cs="Calibri" w:eastAsia="Calibri"/>
                <w:b w:val="0"/>
                <w:i w:val="0"/>
                <w:color w:val="000000"/>
                <w:sz w:val="17"/>
              </w:rPr>
              <w:t>Overcrowding and Machine Wait Times</w:t>
            </w:r>
          </w:p>
        </w:tc>
      </w:tr>
      <w:tr>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Top Retention Initiative</w:t>
            </w:r>
          </w:p>
        </w:tc>
        <w:tc>
          <w:tcPr>
            <w:tcW w:type="dxa" w:w="4752"/>
            <w:shd w:val="clear" w:color="auto" w:fill="FFFFFF"/>
          </w:tcPr>
          <w:p>
            <w:pPr>
              <w:spacing w:before="40" w:after="40" w:line="264" w:lineRule="auto"/>
              <w:jc w:val="left"/>
            </w:pPr>
            <w:r/>
            <w:r>
              <w:rPr>
                <w:rFonts w:ascii="Calibri" w:hAnsi="Calibri" w:cs="Calibri" w:eastAsia="Calibri"/>
                <w:b w:val="0"/>
                <w:i w:val="0"/>
                <w:color w:val="000000"/>
                <w:sz w:val="17"/>
              </w:rPr>
              <w:t>More Specialized Equipment</w:t>
            </w:r>
          </w:p>
        </w:tc>
      </w:tr>
    </w:tbl>
    <w:p>
      <w:pPr>
        <w:spacing w:before="80" w:after="40"/>
        <w:jc w:val="center"/>
      </w:pPr>
      <w:r>
        <w:drawing>
          <wp:inline xmlns:a="http://schemas.openxmlformats.org/drawingml/2006/main" xmlns:pic="http://schemas.openxmlformats.org/drawingml/2006/picture">
            <wp:extent cx="5120640" cy="1930557"/>
            <wp:docPr id="18" name="Picture 18"/>
            <wp:cNvGraphicFramePr>
              <a:graphicFrameLocks noChangeAspect="1"/>
            </wp:cNvGraphicFramePr>
            <a:graphic>
              <a:graphicData uri="http://schemas.openxmlformats.org/drawingml/2006/picture">
                <pic:pic>
                  <pic:nvPicPr>
                    <pic:cNvPr id="0" name="survey_nps_voc.png"/>
                    <pic:cNvPicPr/>
                  </pic:nvPicPr>
                  <pic:blipFill>
                    <a:blip r:embed="rId26"/>
                    <a:stretch>
                      <a:fillRect/>
                    </a:stretch>
                  </pic:blipFill>
                  <pic:spPr>
                    <a:xfrm>
                      <a:off x="0" y="0"/>
                      <a:ext cx="5120640" cy="1930557"/>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6.11:</w:t>
      </w:r>
      <w:r>
        <w:rPr>
          <w:rFonts w:ascii="Calibri" w:hAnsi="Calibri" w:cs="Calibri" w:eastAsia="Calibri"/>
          <w:b w:val="0"/>
          <w:i/>
          <w:color w:val="505050"/>
          <w:sz w:val="18"/>
        </w:rPr>
        <w:t xml:space="preserve"> NPS Donut | VOC Churn Reasons | Desired Retention Initiatives (Survey n=50)</w:t>
      </w:r>
    </w:p>
    <w:p>
      <w:pPr>
        <w:spacing w:before="80" w:after="40"/>
        <w:jc w:val="center"/>
      </w:pPr>
      <w:r>
        <w:drawing>
          <wp:inline xmlns:a="http://schemas.openxmlformats.org/drawingml/2006/main" xmlns:pic="http://schemas.openxmlformats.org/drawingml/2006/picture">
            <wp:extent cx="4572000" cy="2714946"/>
            <wp:docPr id="19" name="Picture 19"/>
            <wp:cNvGraphicFramePr>
              <a:graphicFrameLocks noChangeAspect="1"/>
            </wp:cNvGraphicFramePr>
            <a:graphic>
              <a:graphicData uri="http://schemas.openxmlformats.org/drawingml/2006/picture">
                <pic:pic>
                  <pic:nvPicPr>
                    <pic:cNvPr id="0" name="survey_ttest_chart.png"/>
                    <pic:cNvPicPr/>
                  </pic:nvPicPr>
                  <pic:blipFill>
                    <a:blip r:embed="rId27"/>
                    <a:stretch>
                      <a:fillRect/>
                    </a:stretch>
                  </pic:blipFill>
                  <pic:spPr>
                    <a:xfrm>
                      <a:off x="0" y="0"/>
                      <a:ext cx="4572000" cy="2714946"/>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6.12:</w:t>
      </w:r>
      <w:r>
        <w:rPr>
          <w:rFonts w:ascii="Calibri" w:hAnsi="Calibri" w:cs="Calibri" w:eastAsia="Calibri"/>
          <w:b w:val="0"/>
          <w:i/>
          <w:color w:val="505050"/>
          <w:sz w:val="18"/>
        </w:rPr>
        <w:t xml:space="preserve"> T-Test Results - Satisfaction Scores: Likely vs Unlikely Renewers</w:t>
      </w:r>
    </w:p>
    <w:p>
      <w:pPr>
        <w:spacing w:before="80" w:after="40"/>
        <w:jc w:val="center"/>
      </w:pPr>
      <w:r>
        <w:drawing>
          <wp:inline xmlns:a="http://schemas.openxmlformats.org/drawingml/2006/main" xmlns:pic="http://schemas.openxmlformats.org/drawingml/2006/picture">
            <wp:extent cx="4572000" cy="2645596"/>
            <wp:docPr id="20" name="Picture 20"/>
            <wp:cNvGraphicFramePr>
              <a:graphicFrameLocks noChangeAspect="1"/>
            </wp:cNvGraphicFramePr>
            <a:graphic>
              <a:graphicData uri="http://schemas.openxmlformats.org/drawingml/2006/picture">
                <pic:pic>
                  <pic:nvPicPr>
                    <pic:cNvPr id="0" name="survey_chisquare_chart.png"/>
                    <pic:cNvPicPr/>
                  </pic:nvPicPr>
                  <pic:blipFill>
                    <a:blip r:embed="rId28"/>
                    <a:stretch>
                      <a:fillRect/>
                    </a:stretch>
                  </pic:blipFill>
                  <pic:spPr>
                    <a:xfrm>
                      <a:off x="0" y="0"/>
                      <a:ext cx="4572000" cy="2645596"/>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6.13:</w:t>
      </w:r>
      <w:r>
        <w:rPr>
          <w:rFonts w:ascii="Calibri" w:hAnsi="Calibri" w:cs="Calibri" w:eastAsia="Calibri"/>
          <w:b w:val="0"/>
          <w:i/>
          <w:color w:val="505050"/>
          <w:sz w:val="18"/>
        </w:rPr>
        <w:t xml:space="preserve"> Chi-Square - Categorical Variables vs Renewal Intent Group</w:t>
      </w:r>
    </w:p>
    <w:p>
      <w:pPr>
        <w:spacing w:before="80" w:after="40"/>
        <w:jc w:val="center"/>
      </w:pPr>
      <w:r>
        <w:drawing>
          <wp:inline xmlns:a="http://schemas.openxmlformats.org/drawingml/2006/main" xmlns:pic="http://schemas.openxmlformats.org/drawingml/2006/picture">
            <wp:extent cx="5120640" cy="3426361"/>
            <wp:docPr id="21" name="Picture 21"/>
            <wp:cNvGraphicFramePr>
              <a:graphicFrameLocks noChangeAspect="1"/>
            </wp:cNvGraphicFramePr>
            <a:graphic>
              <a:graphicData uri="http://schemas.openxmlformats.org/drawingml/2006/picture">
                <pic:pic>
                  <pic:nvPicPr>
                    <pic:cNvPr id="0" name="survey_insights_dashboard.png"/>
                    <pic:cNvPicPr/>
                  </pic:nvPicPr>
                  <pic:blipFill>
                    <a:blip r:embed="rId29"/>
                    <a:stretch>
                      <a:fillRect/>
                    </a:stretch>
                  </pic:blipFill>
                  <pic:spPr>
                    <a:xfrm>
                      <a:off x="0" y="0"/>
                      <a:ext cx="5120640" cy="3426361"/>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6.14:</w:t>
      </w:r>
      <w:r>
        <w:rPr>
          <w:rFonts w:ascii="Calibri" w:hAnsi="Calibri" w:cs="Calibri" w:eastAsia="Calibri"/>
          <w:b w:val="0"/>
          <w:i/>
          <w:color w:val="505050"/>
          <w:sz w:val="18"/>
        </w:rPr>
        <w:t xml:space="preserve"> Survey Insights Dashboard - Complete 6-panel Analysis (n=50)</w:t>
      </w:r>
    </w:p>
    <w:p>
      <w:r>
        <w:br w:type="page"/>
      </w:r>
    </w:p>
    <w:p>
      <w:pPr>
        <w:spacing w:before="240" w:after="80"/>
        <w:jc w:val="left"/>
        <w:pBdr>
          <w:bottom w:val="single" w:sz="16" w:space="2" w:color="000000"/>
        </w:pBdr>
      </w:pPr>
      <w:r>
        <w:rPr>
          <w:rFonts w:ascii="Trebuchet MS" w:hAnsi="Trebuchet MS" w:cs="Trebuchet MS" w:eastAsia="Trebuchet MS"/>
          <w:b/>
          <w:i w:val="0"/>
          <w:color w:val="000000"/>
          <w:sz w:val="32"/>
        </w:rPr>
        <w:t>7. I - IMPROVE PHASE: FMEA</w:t>
      </w:r>
    </w:p>
    <w:p>
      <w:pPr>
        <w:spacing w:before="160" w:after="40"/>
        <w:jc w:val="left"/>
      </w:pPr>
      <w:r>
        <w:rPr>
          <w:rFonts w:ascii="Trebuchet MS" w:hAnsi="Trebuchet MS" w:cs="Trebuchet MS" w:eastAsia="Trebuchet MS"/>
          <w:b/>
          <w:i w:val="0"/>
          <w:color w:val="000000"/>
          <w:sz w:val="24"/>
        </w:rPr>
        <w:t>7.1 Failure Mode and Effect Analysis (FMEA)</w:t>
      </w:r>
    </w:p>
    <w:p>
      <w:pPr>
        <w:spacing w:before="0" w:after="60" w:line="276" w:lineRule="auto"/>
        <w:jc w:val="both"/>
      </w:pPr>
      <w:r>
        <w:rPr>
          <w:rFonts w:ascii="Calibri" w:hAnsi="Calibri" w:cs="Calibri" w:eastAsia="Calibri"/>
          <w:b w:val="0"/>
          <w:i w:val="0"/>
          <w:color w:val="000000"/>
          <w:sz w:val="21"/>
        </w:rPr>
        <w:t>FMEA is a proactive risk analysis method that identifies process failure modes, evaluates their impact (Severity x Occurrence x Detectability = RPN), and prioritises corrective actions.</w:t>
      </w:r>
    </w:p>
    <w:p>
      <w:pPr>
        <w:pStyle w:val="ListBullet"/>
        <w:spacing w:before="0" w:after="40" w:line="276" w:lineRule="auto"/>
        <w:jc w:val="left"/>
      </w:pPr>
      <w:r>
        <w:rPr>
          <w:rFonts w:ascii="Calibri" w:hAnsi="Calibri" w:cs="Calibri" w:eastAsia="Calibri"/>
          <w:b w:val="0"/>
          <w:i w:val="0"/>
          <w:color w:val="000000"/>
          <w:sz w:val="20"/>
        </w:rPr>
        <w:t>Severity (S 1-10): Impact of failure on member experience. 9-10 = member churns.</w:t>
      </w:r>
    </w:p>
    <w:p>
      <w:pPr>
        <w:pStyle w:val="ListBullet"/>
        <w:spacing w:before="0" w:after="40" w:line="276" w:lineRule="auto"/>
        <w:jc w:val="left"/>
      </w:pPr>
      <w:r>
        <w:rPr>
          <w:rFonts w:ascii="Calibri" w:hAnsi="Calibri" w:cs="Calibri" w:eastAsia="Calibri"/>
          <w:b w:val="0"/>
          <w:i w:val="0"/>
          <w:color w:val="000000"/>
          <w:sz w:val="20"/>
        </w:rPr>
        <w:t>Occurrence (O 1-10): Likelihood of failure. 9-10 = almost certain.</w:t>
      </w:r>
    </w:p>
    <w:p>
      <w:pPr>
        <w:pStyle w:val="ListBullet"/>
        <w:spacing w:before="0" w:after="40" w:line="276" w:lineRule="auto"/>
        <w:jc w:val="left"/>
      </w:pPr>
      <w:r>
        <w:rPr>
          <w:rFonts w:ascii="Calibri" w:hAnsi="Calibri" w:cs="Calibri" w:eastAsia="Calibri"/>
          <w:b w:val="0"/>
          <w:i w:val="0"/>
          <w:color w:val="000000"/>
          <w:sz w:val="20"/>
        </w:rPr>
        <w:t>Detectability (D 1-10): Difficulty of detecting failure before it impacts customer. 9-10 = impossible.</w:t>
      </w:r>
    </w:p>
    <w:p>
      <w:pPr>
        <w:pStyle w:val="ListBullet"/>
        <w:spacing w:before="0" w:after="40" w:line="276" w:lineRule="auto"/>
        <w:jc w:val="left"/>
      </w:pPr>
      <w:r>
        <w:rPr>
          <w:rFonts w:ascii="Calibri" w:hAnsi="Calibri" w:cs="Calibri" w:eastAsia="Calibri"/>
          <w:b w:val="0"/>
          <w:i w:val="0"/>
          <w:color w:val="000000"/>
          <w:sz w:val="20"/>
        </w:rPr>
        <w:t>RPN = S x O x D  |  CRITICAL: &gt;=200  |  HIGH: 100-199  |  MEDIUM: 50-99</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1046"/>
        <w:gridCol w:w="1046"/>
        <w:gridCol w:w="1046"/>
        <w:gridCol w:w="1046"/>
        <w:gridCol w:w="1046"/>
        <w:gridCol w:w="1046"/>
        <w:gridCol w:w="1046"/>
        <w:gridCol w:w="1046"/>
        <w:gridCol w:w="1046"/>
      </w:tblGrid>
      <w:tr>
        <w:tc>
          <w:tcPr>
            <w:tcW w:type="dxa" w:w="1296"/>
            <w:shd w:val="clear" w:color="auto" w:fill="000000"/>
          </w:tcPr>
          <w:p>
            <w:pPr>
              <w:spacing w:before="60" w:after="60"/>
              <w:jc w:val="center"/>
            </w:pPr>
            <w:r/>
            <w:r>
              <w:rPr>
                <w:rFonts w:ascii="Trebuchet MS" w:hAnsi="Trebuchet MS" w:cs="Trebuchet MS" w:eastAsia="Trebuchet MS"/>
                <w:b/>
                <w:i w:val="0"/>
                <w:color w:val="FFFFFF"/>
                <w:sz w:val="18"/>
              </w:rPr>
              <w:t>Process Step</w:t>
            </w:r>
          </w:p>
        </w:tc>
        <w:tc>
          <w:tcPr>
            <w:tcW w:type="dxa" w:w="1584"/>
            <w:shd w:val="clear" w:color="auto" w:fill="000000"/>
          </w:tcPr>
          <w:p>
            <w:pPr>
              <w:spacing w:before="60" w:after="60"/>
              <w:jc w:val="center"/>
            </w:pPr>
            <w:r/>
            <w:r>
              <w:rPr>
                <w:rFonts w:ascii="Trebuchet MS" w:hAnsi="Trebuchet MS" w:cs="Trebuchet MS" w:eastAsia="Trebuchet MS"/>
                <w:b/>
                <w:i w:val="0"/>
                <w:color w:val="FFFFFF"/>
                <w:sz w:val="18"/>
              </w:rPr>
              <w:t>Failure Mode</w:t>
            </w:r>
          </w:p>
        </w:tc>
        <w:tc>
          <w:tcPr>
            <w:tcW w:type="dxa" w:w="1296"/>
            <w:shd w:val="clear" w:color="auto" w:fill="000000"/>
          </w:tcPr>
          <w:p>
            <w:pPr>
              <w:spacing w:before="60" w:after="60"/>
              <w:jc w:val="center"/>
            </w:pPr>
            <w:r/>
            <w:r>
              <w:rPr>
                <w:rFonts w:ascii="Trebuchet MS" w:hAnsi="Trebuchet MS" w:cs="Trebuchet MS" w:eastAsia="Trebuchet MS"/>
                <w:b/>
                <w:i w:val="0"/>
                <w:color w:val="FFFFFF"/>
                <w:sz w:val="18"/>
              </w:rPr>
              <w:t>Effect</w:t>
            </w:r>
          </w:p>
        </w:tc>
        <w:tc>
          <w:tcPr>
            <w:tcW w:type="dxa" w:w="360"/>
            <w:shd w:val="clear" w:color="auto" w:fill="000000"/>
          </w:tcPr>
          <w:p>
            <w:pPr>
              <w:spacing w:before="60" w:after="60"/>
              <w:jc w:val="center"/>
            </w:pPr>
            <w:r/>
            <w:r>
              <w:rPr>
                <w:rFonts w:ascii="Trebuchet MS" w:hAnsi="Trebuchet MS" w:cs="Trebuchet MS" w:eastAsia="Trebuchet MS"/>
                <w:b/>
                <w:i w:val="0"/>
                <w:color w:val="FFFFFF"/>
                <w:sz w:val="18"/>
              </w:rPr>
              <w:t>S</w:t>
            </w:r>
          </w:p>
        </w:tc>
        <w:tc>
          <w:tcPr>
            <w:tcW w:type="dxa" w:w="360"/>
            <w:shd w:val="clear" w:color="auto" w:fill="000000"/>
          </w:tcPr>
          <w:p>
            <w:pPr>
              <w:spacing w:before="60" w:after="60"/>
              <w:jc w:val="center"/>
            </w:pPr>
            <w:r/>
            <w:r>
              <w:rPr>
                <w:rFonts w:ascii="Trebuchet MS" w:hAnsi="Trebuchet MS" w:cs="Trebuchet MS" w:eastAsia="Trebuchet MS"/>
                <w:b/>
                <w:i w:val="0"/>
                <w:color w:val="FFFFFF"/>
                <w:sz w:val="18"/>
              </w:rPr>
              <w:t>O</w:t>
            </w:r>
          </w:p>
        </w:tc>
        <w:tc>
          <w:tcPr>
            <w:tcW w:type="dxa" w:w="360"/>
            <w:shd w:val="clear" w:color="auto" w:fill="000000"/>
          </w:tcPr>
          <w:p>
            <w:pPr>
              <w:spacing w:before="60" w:after="60"/>
              <w:jc w:val="center"/>
            </w:pPr>
            <w:r/>
            <w:r>
              <w:rPr>
                <w:rFonts w:ascii="Trebuchet MS" w:hAnsi="Trebuchet MS" w:cs="Trebuchet MS" w:eastAsia="Trebuchet MS"/>
                <w:b/>
                <w:i w:val="0"/>
                <w:color w:val="FFFFFF"/>
                <w:sz w:val="18"/>
              </w:rPr>
              <w:t>D</w:t>
            </w:r>
          </w:p>
        </w:tc>
        <w:tc>
          <w:tcPr>
            <w:tcW w:type="dxa" w:w="576"/>
            <w:shd w:val="clear" w:color="auto" w:fill="000000"/>
          </w:tcPr>
          <w:p>
            <w:pPr>
              <w:spacing w:before="60" w:after="60"/>
              <w:jc w:val="center"/>
            </w:pPr>
            <w:r/>
            <w:r>
              <w:rPr>
                <w:rFonts w:ascii="Trebuchet MS" w:hAnsi="Trebuchet MS" w:cs="Trebuchet MS" w:eastAsia="Trebuchet MS"/>
                <w:b/>
                <w:i w:val="0"/>
                <w:color w:val="FFFFFF"/>
                <w:sz w:val="18"/>
              </w:rPr>
              <w:t>RPN</w:t>
            </w:r>
          </w:p>
        </w:tc>
        <w:tc>
          <w:tcPr>
            <w:tcW w:type="dxa" w:w="936"/>
            <w:shd w:val="clear" w:color="auto" w:fill="000000"/>
          </w:tcPr>
          <w:p>
            <w:pPr>
              <w:spacing w:before="60" w:after="60"/>
              <w:jc w:val="center"/>
            </w:pPr>
            <w:r/>
            <w:r>
              <w:rPr>
                <w:rFonts w:ascii="Trebuchet MS" w:hAnsi="Trebuchet MS" w:cs="Trebuchet MS" w:eastAsia="Trebuchet MS"/>
                <w:b/>
                <w:i w:val="0"/>
                <w:color w:val="FFFFFF"/>
                <w:sz w:val="18"/>
              </w:rPr>
              <w:t>Priority</w:t>
            </w:r>
          </w:p>
        </w:tc>
        <w:tc>
          <w:tcPr>
            <w:tcW w:type="dxa" w:w="2664"/>
            <w:shd w:val="clear" w:color="auto" w:fill="000000"/>
          </w:tcPr>
          <w:p>
            <w:pPr>
              <w:spacing w:before="60" w:after="60"/>
              <w:jc w:val="center"/>
            </w:pPr>
            <w:r/>
            <w:r>
              <w:rPr>
                <w:rFonts w:ascii="Trebuchet MS" w:hAnsi="Trebuchet MS" w:cs="Trebuchet MS" w:eastAsia="Trebuchet MS"/>
                <w:b/>
                <w:i w:val="0"/>
                <w:color w:val="FFFFFF"/>
                <w:sz w:val="18"/>
              </w:rPr>
              <w:t>Action</w:t>
            </w:r>
          </w:p>
        </w:tc>
      </w:tr>
      <w:tr>
        <w:tc>
          <w:tcPr>
            <w:tcW w:type="dxa" w:w="1296"/>
            <w:shd w:val="clear" w:color="auto" w:fill="F8F9FA"/>
          </w:tcPr>
          <w:p>
            <w:pPr>
              <w:spacing w:before="40" w:after="40" w:line="264" w:lineRule="auto"/>
              <w:jc w:val="left"/>
            </w:pPr>
            <w:r/>
            <w:r>
              <w:rPr>
                <w:rFonts w:ascii="Calibri" w:hAnsi="Calibri" w:cs="Calibri" w:eastAsia="Calibri"/>
                <w:b w:val="0"/>
                <w:i w:val="0"/>
                <w:color w:val="000000"/>
                <w:sz w:val="17"/>
              </w:rPr>
              <w:t>Membership Renewal</w:t>
            </w:r>
          </w:p>
        </w:tc>
        <w:tc>
          <w:tcPr>
            <w:tcW w:type="dxa" w:w="1584"/>
            <w:shd w:val="clear" w:color="auto" w:fill="F8F9FA"/>
          </w:tcPr>
          <w:p>
            <w:pPr>
              <w:spacing w:before="40" w:after="40" w:line="264" w:lineRule="auto"/>
              <w:jc w:val="left"/>
            </w:pPr>
            <w:r/>
            <w:r>
              <w:rPr>
                <w:rFonts w:ascii="Calibri" w:hAnsi="Calibri" w:cs="Calibri" w:eastAsia="Calibri"/>
                <w:b w:val="0"/>
                <w:i w:val="0"/>
                <w:color w:val="000000"/>
                <w:sz w:val="17"/>
              </w:rPr>
              <w:t>No renewal reminder sent</w:t>
            </w:r>
          </w:p>
        </w:tc>
        <w:tc>
          <w:tcPr>
            <w:tcW w:type="dxa" w:w="1296"/>
            <w:shd w:val="clear" w:color="auto" w:fill="F8F9FA"/>
          </w:tcPr>
          <w:p>
            <w:pPr>
              <w:spacing w:before="40" w:after="40" w:line="264" w:lineRule="auto"/>
              <w:jc w:val="left"/>
            </w:pPr>
            <w:r/>
            <w:r>
              <w:rPr>
                <w:rFonts w:ascii="Calibri" w:hAnsi="Calibri" w:cs="Calibri" w:eastAsia="Calibri"/>
                <w:b w:val="0"/>
                <w:i w:val="0"/>
                <w:color w:val="000000"/>
                <w:sz w:val="17"/>
              </w:rPr>
              <w:t>Silent churn</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9</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7</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6</w:t>
            </w:r>
          </w:p>
        </w:tc>
        <w:tc>
          <w:tcPr>
            <w:tcW w:type="dxa" w:w="576"/>
            <w:shd w:val="clear" w:color="auto" w:fill="F8F9FA"/>
          </w:tcPr>
          <w:p>
            <w:pPr>
              <w:spacing w:before="40" w:after="40" w:line="264" w:lineRule="auto"/>
              <w:jc w:val="left"/>
            </w:pPr>
            <w:r/>
            <w:r>
              <w:rPr>
                <w:rFonts w:ascii="Calibri" w:hAnsi="Calibri" w:cs="Calibri" w:eastAsia="Calibri"/>
                <w:b w:val="0"/>
                <w:i w:val="0"/>
                <w:color w:val="000000"/>
                <w:sz w:val="17"/>
              </w:rPr>
              <w:t>378</w:t>
            </w:r>
          </w:p>
        </w:tc>
        <w:tc>
          <w:tcPr>
            <w:tcW w:type="dxa" w:w="936"/>
            <w:shd w:val="clear" w:color="auto" w:fill="F8F9FA"/>
          </w:tcPr>
          <w:p>
            <w:pPr>
              <w:spacing w:before="40" w:after="40" w:line="264" w:lineRule="auto"/>
              <w:jc w:val="left"/>
            </w:pPr>
            <w:r/>
            <w:r>
              <w:rPr>
                <w:rFonts w:ascii="Calibri" w:hAnsi="Calibri" w:cs="Calibri" w:eastAsia="Calibri"/>
                <w:b w:val="0"/>
                <w:i w:val="0"/>
                <w:color w:val="000000"/>
                <w:sz w:val="17"/>
              </w:rPr>
              <w:t>CRITICAL</w:t>
            </w:r>
          </w:p>
        </w:tc>
        <w:tc>
          <w:tcPr>
            <w:tcW w:type="dxa" w:w="2664"/>
            <w:shd w:val="clear" w:color="auto" w:fill="F8F9FA"/>
          </w:tcPr>
          <w:p>
            <w:pPr>
              <w:spacing w:before="40" w:after="40" w:line="264" w:lineRule="auto"/>
              <w:jc w:val="left"/>
            </w:pPr>
            <w:r/>
            <w:r>
              <w:rPr>
                <w:rFonts w:ascii="Calibri" w:hAnsi="Calibri" w:cs="Calibri" w:eastAsia="Calibri"/>
                <w:b w:val="0"/>
                <w:i w:val="0"/>
                <w:color w:val="000000"/>
                <w:sz w:val="17"/>
              </w:rPr>
              <w:t>Automated SMS/email 30-15-7 days pre-expiry</w:t>
            </w:r>
          </w:p>
        </w:tc>
      </w:tr>
      <w:tr>
        <w:tc>
          <w:tcPr>
            <w:tcW w:type="dxa" w:w="1296"/>
            <w:shd w:val="clear" w:color="auto" w:fill="FFFFFF"/>
          </w:tcPr>
          <w:p>
            <w:pPr>
              <w:spacing w:before="40" w:after="40" w:line="264" w:lineRule="auto"/>
              <w:jc w:val="left"/>
            </w:pPr>
            <w:r/>
            <w:r>
              <w:rPr>
                <w:rFonts w:ascii="Calibri" w:hAnsi="Calibri" w:cs="Calibri" w:eastAsia="Calibri"/>
                <w:b w:val="0"/>
                <w:i w:val="0"/>
                <w:color w:val="000000"/>
                <w:sz w:val="17"/>
              </w:rPr>
              <w:t>Goal Tracking</w:t>
            </w:r>
          </w:p>
        </w:tc>
        <w:tc>
          <w:tcPr>
            <w:tcW w:type="dxa" w:w="1584"/>
            <w:shd w:val="clear" w:color="auto" w:fill="FFFFFF"/>
          </w:tcPr>
          <w:p>
            <w:pPr>
              <w:spacing w:before="40" w:after="40" w:line="264" w:lineRule="auto"/>
              <w:jc w:val="left"/>
            </w:pPr>
            <w:r/>
            <w:r>
              <w:rPr>
                <w:rFonts w:ascii="Calibri" w:hAnsi="Calibri" w:cs="Calibri" w:eastAsia="Calibri"/>
                <w:b w:val="0"/>
                <w:i w:val="0"/>
                <w:color w:val="000000"/>
                <w:sz w:val="17"/>
              </w:rPr>
              <w:t>No progress tracking system</w:t>
            </w:r>
          </w:p>
        </w:tc>
        <w:tc>
          <w:tcPr>
            <w:tcW w:type="dxa" w:w="1296"/>
            <w:shd w:val="clear" w:color="auto" w:fill="FFFFFF"/>
          </w:tcPr>
          <w:p>
            <w:pPr>
              <w:spacing w:before="40" w:after="40" w:line="264" w:lineRule="auto"/>
              <w:jc w:val="left"/>
            </w:pPr>
            <w:r/>
            <w:r>
              <w:rPr>
                <w:rFonts w:ascii="Calibri" w:hAnsi="Calibri" w:cs="Calibri" w:eastAsia="Calibri"/>
                <w:b w:val="0"/>
                <w:i w:val="0"/>
                <w:color w:val="000000"/>
                <w:sz w:val="17"/>
              </w:rPr>
              <w:t>Member quits - no results</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8</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7</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6</w:t>
            </w:r>
          </w:p>
        </w:tc>
        <w:tc>
          <w:tcPr>
            <w:tcW w:type="dxa" w:w="576"/>
            <w:shd w:val="clear" w:color="auto" w:fill="FFFFFF"/>
          </w:tcPr>
          <w:p>
            <w:pPr>
              <w:spacing w:before="40" w:after="40" w:line="264" w:lineRule="auto"/>
              <w:jc w:val="left"/>
            </w:pPr>
            <w:r/>
            <w:r>
              <w:rPr>
                <w:rFonts w:ascii="Calibri" w:hAnsi="Calibri" w:cs="Calibri" w:eastAsia="Calibri"/>
                <w:b w:val="0"/>
                <w:i w:val="0"/>
                <w:color w:val="000000"/>
                <w:sz w:val="17"/>
              </w:rPr>
              <w:t>336</w:t>
            </w:r>
          </w:p>
        </w:tc>
        <w:tc>
          <w:tcPr>
            <w:tcW w:type="dxa" w:w="936"/>
            <w:shd w:val="clear" w:color="auto" w:fill="FFFFFF"/>
          </w:tcPr>
          <w:p>
            <w:pPr>
              <w:spacing w:before="40" w:after="40" w:line="264" w:lineRule="auto"/>
              <w:jc w:val="left"/>
            </w:pPr>
            <w:r/>
            <w:r>
              <w:rPr>
                <w:rFonts w:ascii="Calibri" w:hAnsi="Calibri" w:cs="Calibri" w:eastAsia="Calibri"/>
                <w:b w:val="0"/>
                <w:i w:val="0"/>
                <w:color w:val="000000"/>
                <w:sz w:val="17"/>
              </w:rPr>
              <w:t>CRITICAL</w:t>
            </w:r>
          </w:p>
        </w:tc>
        <w:tc>
          <w:tcPr>
            <w:tcW w:type="dxa" w:w="2664"/>
            <w:shd w:val="clear" w:color="auto" w:fill="FFFFFF"/>
          </w:tcPr>
          <w:p>
            <w:pPr>
              <w:spacing w:before="40" w:after="40" w:line="264" w:lineRule="auto"/>
              <w:jc w:val="left"/>
            </w:pPr>
            <w:r/>
            <w:r>
              <w:rPr>
                <w:rFonts w:ascii="Calibri" w:hAnsi="Calibri" w:cs="Calibri" w:eastAsia="Calibri"/>
                <w:b w:val="0"/>
                <w:i w:val="0"/>
                <w:color w:val="000000"/>
                <w:sz w:val="17"/>
              </w:rPr>
              <w:t>Monthly fitness assessment + progress report</w:t>
            </w:r>
          </w:p>
        </w:tc>
      </w:tr>
      <w:tr>
        <w:tc>
          <w:tcPr>
            <w:tcW w:type="dxa" w:w="1296"/>
            <w:shd w:val="clear" w:color="auto" w:fill="F8F9FA"/>
          </w:tcPr>
          <w:p>
            <w:pPr>
              <w:spacing w:before="40" w:after="40" w:line="264" w:lineRule="auto"/>
              <w:jc w:val="left"/>
            </w:pPr>
            <w:r/>
            <w:r>
              <w:rPr>
                <w:rFonts w:ascii="Calibri" w:hAnsi="Calibri" w:cs="Calibri" w:eastAsia="Calibri"/>
                <w:b w:val="0"/>
                <w:i w:val="0"/>
                <w:color w:val="000000"/>
                <w:sz w:val="17"/>
              </w:rPr>
              <w:t>Plan Upgrade</w:t>
            </w:r>
          </w:p>
        </w:tc>
        <w:tc>
          <w:tcPr>
            <w:tcW w:type="dxa" w:w="1584"/>
            <w:shd w:val="clear" w:color="auto" w:fill="F8F9FA"/>
          </w:tcPr>
          <w:p>
            <w:pPr>
              <w:spacing w:before="40" w:after="40" w:line="264" w:lineRule="auto"/>
              <w:jc w:val="left"/>
            </w:pPr>
            <w:r/>
            <w:r>
              <w:rPr>
                <w:rFonts w:ascii="Calibri" w:hAnsi="Calibri" w:cs="Calibri" w:eastAsia="Calibri"/>
                <w:b w:val="0"/>
                <w:i w:val="0"/>
                <w:color w:val="000000"/>
                <w:sz w:val="17"/>
              </w:rPr>
              <w:t>No upsell/upgrade prompts</w:t>
            </w:r>
          </w:p>
        </w:tc>
        <w:tc>
          <w:tcPr>
            <w:tcW w:type="dxa" w:w="1296"/>
            <w:shd w:val="clear" w:color="auto" w:fill="F8F9FA"/>
          </w:tcPr>
          <w:p>
            <w:pPr>
              <w:spacing w:before="40" w:after="40" w:line="264" w:lineRule="auto"/>
              <w:jc w:val="left"/>
            </w:pPr>
            <w:r/>
            <w:r>
              <w:rPr>
                <w:rFonts w:ascii="Calibri" w:hAnsi="Calibri" w:cs="Calibri" w:eastAsia="Calibri"/>
                <w:b w:val="0"/>
                <w:i w:val="0"/>
                <w:color w:val="000000"/>
                <w:sz w:val="17"/>
              </w:rPr>
              <w:t>Stays on costly monthly plan</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6</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8</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7</w:t>
            </w:r>
          </w:p>
        </w:tc>
        <w:tc>
          <w:tcPr>
            <w:tcW w:type="dxa" w:w="576"/>
            <w:shd w:val="clear" w:color="auto" w:fill="F8F9FA"/>
          </w:tcPr>
          <w:p>
            <w:pPr>
              <w:spacing w:before="40" w:after="40" w:line="264" w:lineRule="auto"/>
              <w:jc w:val="left"/>
            </w:pPr>
            <w:r/>
            <w:r>
              <w:rPr>
                <w:rFonts w:ascii="Calibri" w:hAnsi="Calibri" w:cs="Calibri" w:eastAsia="Calibri"/>
                <w:b w:val="0"/>
                <w:i w:val="0"/>
                <w:color w:val="000000"/>
                <w:sz w:val="17"/>
              </w:rPr>
              <w:t>336</w:t>
            </w:r>
          </w:p>
        </w:tc>
        <w:tc>
          <w:tcPr>
            <w:tcW w:type="dxa" w:w="936"/>
            <w:shd w:val="clear" w:color="auto" w:fill="F8F9FA"/>
          </w:tcPr>
          <w:p>
            <w:pPr>
              <w:spacing w:before="40" w:after="40" w:line="264" w:lineRule="auto"/>
              <w:jc w:val="left"/>
            </w:pPr>
            <w:r/>
            <w:r>
              <w:rPr>
                <w:rFonts w:ascii="Calibri" w:hAnsi="Calibri" w:cs="Calibri" w:eastAsia="Calibri"/>
                <w:b w:val="0"/>
                <w:i w:val="0"/>
                <w:color w:val="000000"/>
                <w:sz w:val="17"/>
              </w:rPr>
              <w:t>CRITICAL</w:t>
            </w:r>
          </w:p>
        </w:tc>
        <w:tc>
          <w:tcPr>
            <w:tcW w:type="dxa" w:w="2664"/>
            <w:shd w:val="clear" w:color="auto" w:fill="F8F9FA"/>
          </w:tcPr>
          <w:p>
            <w:pPr>
              <w:spacing w:before="40" w:after="40" w:line="264" w:lineRule="auto"/>
              <w:jc w:val="left"/>
            </w:pPr>
            <w:r/>
            <w:r>
              <w:rPr>
                <w:rFonts w:ascii="Calibri" w:hAnsi="Calibri" w:cs="Calibri" w:eastAsia="Calibri"/>
                <w:b w:val="0"/>
                <w:i w:val="0"/>
                <w:color w:val="000000"/>
                <w:sz w:val="17"/>
              </w:rPr>
              <w:t>Loyalty upgrade offer after 3 months on monthly</w:t>
            </w:r>
          </w:p>
        </w:tc>
      </w:tr>
      <w:tr>
        <w:tc>
          <w:tcPr>
            <w:tcW w:type="dxa" w:w="1296"/>
            <w:shd w:val="clear" w:color="auto" w:fill="FFFFFF"/>
          </w:tcPr>
          <w:p>
            <w:pPr>
              <w:spacing w:before="40" w:after="40" w:line="264" w:lineRule="auto"/>
              <w:jc w:val="left"/>
            </w:pPr>
            <w:r/>
            <w:r>
              <w:rPr>
                <w:rFonts w:ascii="Calibri" w:hAnsi="Calibri" w:cs="Calibri" w:eastAsia="Calibri"/>
                <w:b w:val="0"/>
                <w:i w:val="0"/>
                <w:color w:val="000000"/>
                <w:sz w:val="17"/>
              </w:rPr>
              <w:t>Plan Selection</w:t>
            </w:r>
          </w:p>
        </w:tc>
        <w:tc>
          <w:tcPr>
            <w:tcW w:type="dxa" w:w="1584"/>
            <w:shd w:val="clear" w:color="auto" w:fill="FFFFFF"/>
          </w:tcPr>
          <w:p>
            <w:pPr>
              <w:spacing w:before="40" w:after="40" w:line="264" w:lineRule="auto"/>
              <w:jc w:val="left"/>
            </w:pPr>
            <w:r/>
            <w:r>
              <w:rPr>
                <w:rFonts w:ascii="Calibri" w:hAnsi="Calibri" w:cs="Calibri" w:eastAsia="Calibri"/>
                <w:b w:val="0"/>
                <w:i w:val="0"/>
                <w:color w:val="000000"/>
                <w:sz w:val="17"/>
              </w:rPr>
              <w:t>Only monthly plans chosen</w:t>
            </w:r>
          </w:p>
        </w:tc>
        <w:tc>
          <w:tcPr>
            <w:tcW w:type="dxa" w:w="1296"/>
            <w:shd w:val="clear" w:color="auto" w:fill="FFFFFF"/>
          </w:tcPr>
          <w:p>
            <w:pPr>
              <w:spacing w:before="40" w:after="40" w:line="264" w:lineRule="auto"/>
              <w:jc w:val="left"/>
            </w:pPr>
            <w:r/>
            <w:r>
              <w:rPr>
                <w:rFonts w:ascii="Calibri" w:hAnsi="Calibri" w:cs="Calibri" w:eastAsia="Calibri"/>
                <w:b w:val="0"/>
                <w:i w:val="0"/>
                <w:color w:val="000000"/>
                <w:sz w:val="17"/>
              </w:rPr>
              <w:t>High churn - low commitment</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8</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8</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5</w:t>
            </w:r>
          </w:p>
        </w:tc>
        <w:tc>
          <w:tcPr>
            <w:tcW w:type="dxa" w:w="576"/>
            <w:shd w:val="clear" w:color="auto" w:fill="FFFFFF"/>
          </w:tcPr>
          <w:p>
            <w:pPr>
              <w:spacing w:before="40" w:after="40" w:line="264" w:lineRule="auto"/>
              <w:jc w:val="left"/>
            </w:pPr>
            <w:r/>
            <w:r>
              <w:rPr>
                <w:rFonts w:ascii="Calibri" w:hAnsi="Calibri" w:cs="Calibri" w:eastAsia="Calibri"/>
                <w:b w:val="0"/>
                <w:i w:val="0"/>
                <w:color w:val="000000"/>
                <w:sz w:val="17"/>
              </w:rPr>
              <w:t>320</w:t>
            </w:r>
          </w:p>
        </w:tc>
        <w:tc>
          <w:tcPr>
            <w:tcW w:type="dxa" w:w="936"/>
            <w:shd w:val="clear" w:color="auto" w:fill="FFFFFF"/>
          </w:tcPr>
          <w:p>
            <w:pPr>
              <w:spacing w:before="40" w:after="40" w:line="264" w:lineRule="auto"/>
              <w:jc w:val="left"/>
            </w:pPr>
            <w:r/>
            <w:r>
              <w:rPr>
                <w:rFonts w:ascii="Calibri" w:hAnsi="Calibri" w:cs="Calibri" w:eastAsia="Calibri"/>
                <w:b w:val="0"/>
                <w:i w:val="0"/>
                <w:color w:val="000000"/>
                <w:sz w:val="17"/>
              </w:rPr>
              <w:t>CRITICAL</w:t>
            </w:r>
          </w:p>
        </w:tc>
        <w:tc>
          <w:tcPr>
            <w:tcW w:type="dxa" w:w="2664"/>
            <w:shd w:val="clear" w:color="auto" w:fill="FFFFFF"/>
          </w:tcPr>
          <w:p>
            <w:pPr>
              <w:spacing w:before="40" w:after="40" w:line="264" w:lineRule="auto"/>
              <w:jc w:val="left"/>
            </w:pPr>
            <w:r/>
            <w:r>
              <w:rPr>
                <w:rFonts w:ascii="Calibri" w:hAnsi="Calibri" w:cs="Calibri" w:eastAsia="Calibri"/>
                <w:b w:val="0"/>
                <w:i w:val="0"/>
                <w:color w:val="000000"/>
                <w:sz w:val="17"/>
              </w:rPr>
              <w:t>Incentivise quarterly/annual with discounts</w:t>
            </w:r>
          </w:p>
        </w:tc>
      </w:tr>
      <w:tr>
        <w:tc>
          <w:tcPr>
            <w:tcW w:type="dxa" w:w="1296"/>
            <w:shd w:val="clear" w:color="auto" w:fill="F8F9FA"/>
          </w:tcPr>
          <w:p>
            <w:pPr>
              <w:spacing w:before="40" w:after="40" w:line="264" w:lineRule="auto"/>
              <w:jc w:val="left"/>
            </w:pPr>
            <w:r/>
            <w:r>
              <w:rPr>
                <w:rFonts w:ascii="Calibri" w:hAnsi="Calibri" w:cs="Calibri" w:eastAsia="Calibri"/>
                <w:b w:val="0"/>
                <w:i w:val="0"/>
                <w:color w:val="000000"/>
                <w:sz w:val="17"/>
              </w:rPr>
              <w:t>Peak Hour Facility</w:t>
            </w:r>
          </w:p>
        </w:tc>
        <w:tc>
          <w:tcPr>
            <w:tcW w:type="dxa" w:w="1584"/>
            <w:shd w:val="clear" w:color="auto" w:fill="F8F9FA"/>
          </w:tcPr>
          <w:p>
            <w:pPr>
              <w:spacing w:before="40" w:after="40" w:line="264" w:lineRule="auto"/>
              <w:jc w:val="left"/>
            </w:pPr>
            <w:r/>
            <w:r>
              <w:rPr>
                <w:rFonts w:ascii="Calibri" w:hAnsi="Calibri" w:cs="Calibri" w:eastAsia="Calibri"/>
                <w:b w:val="0"/>
                <w:i w:val="0"/>
                <w:color w:val="000000"/>
                <w:sz w:val="17"/>
              </w:rPr>
              <w:t>Machine unavailability</w:t>
            </w:r>
          </w:p>
        </w:tc>
        <w:tc>
          <w:tcPr>
            <w:tcW w:type="dxa" w:w="1296"/>
            <w:shd w:val="clear" w:color="auto" w:fill="F8F9FA"/>
          </w:tcPr>
          <w:p>
            <w:pPr>
              <w:spacing w:before="40" w:after="40" w:line="264" w:lineRule="auto"/>
              <w:jc w:val="left"/>
            </w:pPr>
            <w:r/>
            <w:r>
              <w:rPr>
                <w:rFonts w:ascii="Calibri" w:hAnsi="Calibri" w:cs="Calibri" w:eastAsia="Calibri"/>
                <w:b w:val="0"/>
                <w:i w:val="0"/>
                <w:color w:val="000000"/>
                <w:sz w:val="17"/>
              </w:rPr>
              <w:t>Frustration and churn</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9</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8</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4</w:t>
            </w:r>
          </w:p>
        </w:tc>
        <w:tc>
          <w:tcPr>
            <w:tcW w:type="dxa" w:w="576"/>
            <w:shd w:val="clear" w:color="auto" w:fill="F8F9FA"/>
          </w:tcPr>
          <w:p>
            <w:pPr>
              <w:spacing w:before="40" w:after="40" w:line="264" w:lineRule="auto"/>
              <w:jc w:val="left"/>
            </w:pPr>
            <w:r/>
            <w:r>
              <w:rPr>
                <w:rFonts w:ascii="Calibri" w:hAnsi="Calibri" w:cs="Calibri" w:eastAsia="Calibri"/>
                <w:b w:val="0"/>
                <w:i w:val="0"/>
                <w:color w:val="000000"/>
                <w:sz w:val="17"/>
              </w:rPr>
              <w:t>288</w:t>
            </w:r>
          </w:p>
        </w:tc>
        <w:tc>
          <w:tcPr>
            <w:tcW w:type="dxa" w:w="936"/>
            <w:shd w:val="clear" w:color="auto" w:fill="F8F9FA"/>
          </w:tcPr>
          <w:p>
            <w:pPr>
              <w:spacing w:before="40" w:after="40" w:line="264" w:lineRule="auto"/>
              <w:jc w:val="left"/>
            </w:pPr>
            <w:r/>
            <w:r>
              <w:rPr>
                <w:rFonts w:ascii="Calibri" w:hAnsi="Calibri" w:cs="Calibri" w:eastAsia="Calibri"/>
                <w:b w:val="0"/>
                <w:i w:val="0"/>
                <w:color w:val="000000"/>
                <w:sz w:val="17"/>
              </w:rPr>
              <w:t>CRITICAL</w:t>
            </w:r>
          </w:p>
        </w:tc>
        <w:tc>
          <w:tcPr>
            <w:tcW w:type="dxa" w:w="2664"/>
            <w:shd w:val="clear" w:color="auto" w:fill="F8F9FA"/>
          </w:tcPr>
          <w:p>
            <w:pPr>
              <w:spacing w:before="40" w:after="40" w:line="264" w:lineRule="auto"/>
              <w:jc w:val="left"/>
            </w:pPr>
            <w:r/>
            <w:r>
              <w:rPr>
                <w:rFonts w:ascii="Calibri" w:hAnsi="Calibri" w:cs="Calibri" w:eastAsia="Calibri"/>
                <w:b w:val="0"/>
                <w:i w:val="0"/>
                <w:color w:val="000000"/>
                <w:sz w:val="17"/>
              </w:rPr>
              <w:t>Live crowd tracker + staggered peak slots</w:t>
            </w:r>
          </w:p>
        </w:tc>
      </w:tr>
      <w:tr>
        <w:tc>
          <w:tcPr>
            <w:tcW w:type="dxa" w:w="1296"/>
            <w:shd w:val="clear" w:color="auto" w:fill="FFFFFF"/>
          </w:tcPr>
          <w:p>
            <w:pPr>
              <w:spacing w:before="40" w:after="40" w:line="264" w:lineRule="auto"/>
              <w:jc w:val="left"/>
            </w:pPr>
            <w:r/>
            <w:r>
              <w:rPr>
                <w:rFonts w:ascii="Calibri" w:hAnsi="Calibri" w:cs="Calibri" w:eastAsia="Calibri"/>
                <w:b w:val="0"/>
                <w:i w:val="0"/>
                <w:color w:val="000000"/>
                <w:sz w:val="17"/>
              </w:rPr>
              <w:t>Member Onboarding</w:t>
            </w:r>
          </w:p>
        </w:tc>
        <w:tc>
          <w:tcPr>
            <w:tcW w:type="dxa" w:w="1584"/>
            <w:shd w:val="clear" w:color="auto" w:fill="FFFFFF"/>
          </w:tcPr>
          <w:p>
            <w:pPr>
              <w:spacing w:before="40" w:after="40" w:line="264" w:lineRule="auto"/>
              <w:jc w:val="left"/>
            </w:pPr>
            <w:r/>
            <w:r>
              <w:rPr>
                <w:rFonts w:ascii="Calibri" w:hAnsi="Calibri" w:cs="Calibri" w:eastAsia="Calibri"/>
                <w:b w:val="0"/>
                <w:i w:val="0"/>
                <w:color w:val="000000"/>
                <w:sz w:val="17"/>
              </w:rPr>
              <w:t>No orientation provided</w:t>
            </w:r>
          </w:p>
        </w:tc>
        <w:tc>
          <w:tcPr>
            <w:tcW w:type="dxa" w:w="1296"/>
            <w:shd w:val="clear" w:color="auto" w:fill="FFFFFF"/>
          </w:tcPr>
          <w:p>
            <w:pPr>
              <w:spacing w:before="40" w:after="40" w:line="264" w:lineRule="auto"/>
              <w:jc w:val="left"/>
            </w:pPr>
            <w:r/>
            <w:r>
              <w:rPr>
                <w:rFonts w:ascii="Calibri" w:hAnsi="Calibri" w:cs="Calibri" w:eastAsia="Calibri"/>
                <w:b w:val="0"/>
                <w:i w:val="0"/>
                <w:color w:val="000000"/>
                <w:sz w:val="17"/>
              </w:rPr>
              <w:t>Confusion and early dropout</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8</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6</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5</w:t>
            </w:r>
          </w:p>
        </w:tc>
        <w:tc>
          <w:tcPr>
            <w:tcW w:type="dxa" w:w="576"/>
            <w:shd w:val="clear" w:color="auto" w:fill="FFFFFF"/>
          </w:tcPr>
          <w:p>
            <w:pPr>
              <w:spacing w:before="40" w:after="40" w:line="264" w:lineRule="auto"/>
              <w:jc w:val="left"/>
            </w:pPr>
            <w:r/>
            <w:r>
              <w:rPr>
                <w:rFonts w:ascii="Calibri" w:hAnsi="Calibri" w:cs="Calibri" w:eastAsia="Calibri"/>
                <w:b w:val="0"/>
                <w:i w:val="0"/>
                <w:color w:val="000000"/>
                <w:sz w:val="17"/>
              </w:rPr>
              <w:t>240</w:t>
            </w:r>
          </w:p>
        </w:tc>
        <w:tc>
          <w:tcPr>
            <w:tcW w:type="dxa" w:w="936"/>
            <w:shd w:val="clear" w:color="auto" w:fill="FFFFFF"/>
          </w:tcPr>
          <w:p>
            <w:pPr>
              <w:spacing w:before="40" w:after="40" w:line="264" w:lineRule="auto"/>
              <w:jc w:val="left"/>
            </w:pPr>
            <w:r/>
            <w:r>
              <w:rPr>
                <w:rFonts w:ascii="Calibri" w:hAnsi="Calibri" w:cs="Calibri" w:eastAsia="Calibri"/>
                <w:b w:val="0"/>
                <w:i w:val="0"/>
                <w:color w:val="000000"/>
                <w:sz w:val="17"/>
              </w:rPr>
              <w:t>CRITICAL</w:t>
            </w:r>
          </w:p>
        </w:tc>
        <w:tc>
          <w:tcPr>
            <w:tcW w:type="dxa" w:w="2664"/>
            <w:shd w:val="clear" w:color="auto" w:fill="FFFFFF"/>
          </w:tcPr>
          <w:p>
            <w:pPr>
              <w:spacing w:before="40" w:after="40" w:line="264" w:lineRule="auto"/>
              <w:jc w:val="left"/>
            </w:pPr>
            <w:r/>
            <w:r>
              <w:rPr>
                <w:rFonts w:ascii="Calibri" w:hAnsi="Calibri" w:cs="Calibri" w:eastAsia="Calibri"/>
                <w:b w:val="0"/>
                <w:i w:val="0"/>
                <w:color w:val="000000"/>
                <w:sz w:val="17"/>
              </w:rPr>
              <w:t>Structured 7-day onboarding checklist</w:t>
            </w:r>
          </w:p>
        </w:tc>
      </w:tr>
      <w:tr>
        <w:tc>
          <w:tcPr>
            <w:tcW w:type="dxa" w:w="1296"/>
            <w:shd w:val="clear" w:color="auto" w:fill="F8F9FA"/>
          </w:tcPr>
          <w:p>
            <w:pPr>
              <w:spacing w:before="40" w:after="40" w:line="264" w:lineRule="auto"/>
              <w:jc w:val="left"/>
            </w:pPr>
            <w:r/>
            <w:r>
              <w:rPr>
                <w:rFonts w:ascii="Calibri" w:hAnsi="Calibri" w:cs="Calibri" w:eastAsia="Calibri"/>
                <w:b w:val="0"/>
                <w:i w:val="0"/>
                <w:color w:val="000000"/>
                <w:sz w:val="17"/>
              </w:rPr>
              <w:t>Trainer Engagement</w:t>
            </w:r>
          </w:p>
        </w:tc>
        <w:tc>
          <w:tcPr>
            <w:tcW w:type="dxa" w:w="1584"/>
            <w:shd w:val="clear" w:color="auto" w:fill="F8F9FA"/>
          </w:tcPr>
          <w:p>
            <w:pPr>
              <w:spacing w:before="40" w:after="40" w:line="264" w:lineRule="auto"/>
              <w:jc w:val="left"/>
            </w:pPr>
            <w:r/>
            <w:r>
              <w:rPr>
                <w:rFonts w:ascii="Calibri" w:hAnsi="Calibri" w:cs="Calibri" w:eastAsia="Calibri"/>
                <w:b w:val="0"/>
                <w:i w:val="0"/>
                <w:color w:val="000000"/>
                <w:sz w:val="17"/>
              </w:rPr>
              <w:t>Trainer ignores non-PT members</w:t>
            </w:r>
          </w:p>
        </w:tc>
        <w:tc>
          <w:tcPr>
            <w:tcW w:type="dxa" w:w="1296"/>
            <w:shd w:val="clear" w:color="auto" w:fill="F8F9FA"/>
          </w:tcPr>
          <w:p>
            <w:pPr>
              <w:spacing w:before="40" w:after="40" w:line="264" w:lineRule="auto"/>
              <w:jc w:val="left"/>
            </w:pPr>
            <w:r/>
            <w:r>
              <w:rPr>
                <w:rFonts w:ascii="Calibri" w:hAnsi="Calibri" w:cs="Calibri" w:eastAsia="Calibri"/>
                <w:b w:val="0"/>
                <w:i w:val="0"/>
                <w:color w:val="000000"/>
                <w:sz w:val="17"/>
              </w:rPr>
              <w:t>Members feel unsupported</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7</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6</w:t>
            </w:r>
          </w:p>
        </w:tc>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5</w:t>
            </w:r>
          </w:p>
        </w:tc>
        <w:tc>
          <w:tcPr>
            <w:tcW w:type="dxa" w:w="576"/>
            <w:shd w:val="clear" w:color="auto" w:fill="F8F9FA"/>
          </w:tcPr>
          <w:p>
            <w:pPr>
              <w:spacing w:before="40" w:after="40" w:line="264" w:lineRule="auto"/>
              <w:jc w:val="left"/>
            </w:pPr>
            <w:r/>
            <w:r>
              <w:rPr>
                <w:rFonts w:ascii="Calibri" w:hAnsi="Calibri" w:cs="Calibri" w:eastAsia="Calibri"/>
                <w:b w:val="0"/>
                <w:i w:val="0"/>
                <w:color w:val="000000"/>
                <w:sz w:val="17"/>
              </w:rPr>
              <w:t>210</w:t>
            </w:r>
          </w:p>
        </w:tc>
        <w:tc>
          <w:tcPr>
            <w:tcW w:type="dxa" w:w="936"/>
            <w:shd w:val="clear" w:color="auto" w:fill="F8F9FA"/>
          </w:tcPr>
          <w:p>
            <w:pPr>
              <w:spacing w:before="40" w:after="40" w:line="264" w:lineRule="auto"/>
              <w:jc w:val="left"/>
            </w:pPr>
            <w:r/>
            <w:r>
              <w:rPr>
                <w:rFonts w:ascii="Calibri" w:hAnsi="Calibri" w:cs="Calibri" w:eastAsia="Calibri"/>
                <w:b w:val="0"/>
                <w:i w:val="0"/>
                <w:color w:val="000000"/>
                <w:sz w:val="17"/>
              </w:rPr>
              <w:t>CRITICAL</w:t>
            </w:r>
          </w:p>
        </w:tc>
        <w:tc>
          <w:tcPr>
            <w:tcW w:type="dxa" w:w="2664"/>
            <w:shd w:val="clear" w:color="auto" w:fill="F8F9FA"/>
          </w:tcPr>
          <w:p>
            <w:pPr>
              <w:spacing w:before="40" w:after="40" w:line="264" w:lineRule="auto"/>
              <w:jc w:val="left"/>
            </w:pPr>
            <w:r/>
            <w:r>
              <w:rPr>
                <w:rFonts w:ascii="Calibri" w:hAnsi="Calibri" w:cs="Calibri" w:eastAsia="Calibri"/>
                <w:b w:val="0"/>
                <w:i w:val="0"/>
                <w:color w:val="000000"/>
                <w:sz w:val="17"/>
              </w:rPr>
              <w:t>Mandatory 30-min floor trainer rounds</w:t>
            </w:r>
          </w:p>
        </w:tc>
      </w:tr>
      <w:tr>
        <w:tc>
          <w:tcPr>
            <w:tcW w:type="dxa" w:w="1296"/>
            <w:shd w:val="clear" w:color="auto" w:fill="FFFFFF"/>
          </w:tcPr>
          <w:p>
            <w:pPr>
              <w:spacing w:before="40" w:after="40" w:line="264" w:lineRule="auto"/>
              <w:jc w:val="left"/>
            </w:pPr>
            <w:r/>
            <w:r>
              <w:rPr>
                <w:rFonts w:ascii="Calibri" w:hAnsi="Calibri" w:cs="Calibri" w:eastAsia="Calibri"/>
                <w:b w:val="0"/>
                <w:i w:val="0"/>
                <w:color w:val="000000"/>
                <w:sz w:val="17"/>
              </w:rPr>
              <w:t>Payment Collection</w:t>
            </w:r>
          </w:p>
        </w:tc>
        <w:tc>
          <w:tcPr>
            <w:tcW w:type="dxa" w:w="1584"/>
            <w:shd w:val="clear" w:color="auto" w:fill="FFFFFF"/>
          </w:tcPr>
          <w:p>
            <w:pPr>
              <w:spacing w:before="40" w:after="40" w:line="264" w:lineRule="auto"/>
              <w:jc w:val="left"/>
            </w:pPr>
            <w:r/>
            <w:r>
              <w:rPr>
                <w:rFonts w:ascii="Calibri" w:hAnsi="Calibri" w:cs="Calibri" w:eastAsia="Calibri"/>
                <w:b w:val="0"/>
                <w:i w:val="0"/>
                <w:color w:val="000000"/>
                <w:sz w:val="17"/>
              </w:rPr>
              <w:t>Lapsed payment ignored</w:t>
            </w:r>
          </w:p>
        </w:tc>
        <w:tc>
          <w:tcPr>
            <w:tcW w:type="dxa" w:w="1296"/>
            <w:shd w:val="clear" w:color="auto" w:fill="FFFFFF"/>
          </w:tcPr>
          <w:p>
            <w:pPr>
              <w:spacing w:before="40" w:after="40" w:line="264" w:lineRule="auto"/>
              <w:jc w:val="left"/>
            </w:pPr>
            <w:r/>
            <w:r>
              <w:rPr>
                <w:rFonts w:ascii="Calibri" w:hAnsi="Calibri" w:cs="Calibri" w:eastAsia="Calibri"/>
                <w:b w:val="0"/>
                <w:i w:val="0"/>
                <w:color w:val="000000"/>
                <w:sz w:val="17"/>
              </w:rPr>
              <w:t>Unintentional churn</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7</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5</w:t>
            </w:r>
          </w:p>
        </w:tc>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4</w:t>
            </w:r>
          </w:p>
        </w:tc>
        <w:tc>
          <w:tcPr>
            <w:tcW w:type="dxa" w:w="576"/>
            <w:shd w:val="clear" w:color="auto" w:fill="FFFFFF"/>
          </w:tcPr>
          <w:p>
            <w:pPr>
              <w:spacing w:before="40" w:after="40" w:line="264" w:lineRule="auto"/>
              <w:jc w:val="left"/>
            </w:pPr>
            <w:r/>
            <w:r>
              <w:rPr>
                <w:rFonts w:ascii="Calibri" w:hAnsi="Calibri" w:cs="Calibri" w:eastAsia="Calibri"/>
                <w:b w:val="0"/>
                <w:i w:val="0"/>
                <w:color w:val="000000"/>
                <w:sz w:val="17"/>
              </w:rPr>
              <w:t>140</w:t>
            </w:r>
          </w:p>
        </w:tc>
        <w:tc>
          <w:tcPr>
            <w:tcW w:type="dxa" w:w="936"/>
            <w:shd w:val="clear" w:color="auto" w:fill="FFFFFF"/>
          </w:tcPr>
          <w:p>
            <w:pPr>
              <w:spacing w:before="40" w:after="40" w:line="264" w:lineRule="auto"/>
              <w:jc w:val="left"/>
            </w:pPr>
            <w:r/>
            <w:r>
              <w:rPr>
                <w:rFonts w:ascii="Calibri" w:hAnsi="Calibri" w:cs="Calibri" w:eastAsia="Calibri"/>
                <w:b w:val="0"/>
                <w:i w:val="0"/>
                <w:color w:val="000000"/>
                <w:sz w:val="17"/>
              </w:rPr>
              <w:t>HIGH</w:t>
            </w:r>
          </w:p>
        </w:tc>
        <w:tc>
          <w:tcPr>
            <w:tcW w:type="dxa" w:w="2664"/>
            <w:shd w:val="clear" w:color="auto" w:fill="FFFFFF"/>
          </w:tcPr>
          <w:p>
            <w:pPr>
              <w:spacing w:before="40" w:after="40" w:line="264" w:lineRule="auto"/>
              <w:jc w:val="left"/>
            </w:pPr>
            <w:r/>
            <w:r>
              <w:rPr>
                <w:rFonts w:ascii="Calibri" w:hAnsi="Calibri" w:cs="Calibri" w:eastAsia="Calibri"/>
                <w:b w:val="0"/>
                <w:i w:val="0"/>
                <w:color w:val="000000"/>
                <w:sz w:val="17"/>
              </w:rPr>
              <w:t>Auto payment retry + WhatsApp billing alert</w:t>
            </w:r>
          </w:p>
        </w:tc>
      </w:tr>
    </w:tbl>
    <w:p>
      <w:pPr>
        <w:spacing w:before="80" w:after="40"/>
        <w:jc w:val="center"/>
      </w:pPr>
      <w:r>
        <w:drawing>
          <wp:inline xmlns:a="http://schemas.openxmlformats.org/drawingml/2006/main" xmlns:pic="http://schemas.openxmlformats.org/drawingml/2006/picture">
            <wp:extent cx="5120640" cy="2910292"/>
            <wp:docPr id="22" name="Picture 22"/>
            <wp:cNvGraphicFramePr>
              <a:graphicFrameLocks noChangeAspect="1"/>
            </wp:cNvGraphicFramePr>
            <a:graphic>
              <a:graphicData uri="http://schemas.openxmlformats.org/drawingml/2006/picture">
                <pic:pic>
                  <pic:nvPicPr>
                    <pic:cNvPr id="0" name="fmea_rpn_chart.png"/>
                    <pic:cNvPicPr/>
                  </pic:nvPicPr>
                  <pic:blipFill>
                    <a:blip r:embed="rId30"/>
                    <a:stretch>
                      <a:fillRect/>
                    </a:stretch>
                  </pic:blipFill>
                  <pic:spPr>
                    <a:xfrm>
                      <a:off x="0" y="0"/>
                      <a:ext cx="5120640" cy="2910292"/>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7.1:</w:t>
      </w:r>
      <w:r>
        <w:rPr>
          <w:rFonts w:ascii="Calibri" w:hAnsi="Calibri" w:cs="Calibri" w:eastAsia="Calibri"/>
          <w:b w:val="0"/>
          <w:i/>
          <w:color w:val="505050"/>
          <w:sz w:val="18"/>
        </w:rPr>
        <w:t xml:space="preserve"> FMEA - Risk Priority Number by Failure Mode. 7 failures rated CRITICAL (RPN&gt;=200).</w:t>
      </w:r>
    </w:p>
    <w:p>
      <w:pPr>
        <w:spacing w:before="80" w:after="40"/>
        <w:jc w:val="center"/>
      </w:pPr>
      <w:r>
        <w:drawing>
          <wp:inline xmlns:a="http://schemas.openxmlformats.org/drawingml/2006/main" xmlns:pic="http://schemas.openxmlformats.org/drawingml/2006/picture">
            <wp:extent cx="4389120" cy="3237875"/>
            <wp:docPr id="23" name="Picture 23"/>
            <wp:cNvGraphicFramePr>
              <a:graphicFrameLocks noChangeAspect="1"/>
            </wp:cNvGraphicFramePr>
            <a:graphic>
              <a:graphicData uri="http://schemas.openxmlformats.org/drawingml/2006/picture">
                <pic:pic>
                  <pic:nvPicPr>
                    <pic:cNvPr id="0" name="fmea_risk_map.png"/>
                    <pic:cNvPicPr/>
                  </pic:nvPicPr>
                  <pic:blipFill>
                    <a:blip r:embed="rId31"/>
                    <a:stretch>
                      <a:fillRect/>
                    </a:stretch>
                  </pic:blipFill>
                  <pic:spPr>
                    <a:xfrm>
                      <a:off x="0" y="0"/>
                      <a:ext cx="4389120" cy="3237875"/>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7.2:</w:t>
      </w:r>
      <w:r>
        <w:rPr>
          <w:rFonts w:ascii="Calibri" w:hAnsi="Calibri" w:cs="Calibri" w:eastAsia="Calibri"/>
          <w:b w:val="0"/>
          <w:i/>
          <w:color w:val="505050"/>
          <w:sz w:val="18"/>
        </w:rPr>
        <w:t xml:space="preserve"> FMEA Risk Map - Severity vs Occurrence (Bubble size = RPN)</w:t>
      </w:r>
    </w:p>
    <w:p>
      <w:pPr>
        <w:spacing w:before="160" w:after="40"/>
        <w:jc w:val="left"/>
      </w:pPr>
      <w:r>
        <w:rPr>
          <w:rFonts w:ascii="Trebuchet MS" w:hAnsi="Trebuchet MS" w:cs="Trebuchet MS" w:eastAsia="Trebuchet MS"/>
          <w:b/>
          <w:i w:val="0"/>
          <w:color w:val="000000"/>
          <w:sz w:val="24"/>
        </w:rPr>
        <w:t>7.2 Prioritised Improvement Action Plan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1569"/>
        <w:gridCol w:w="1569"/>
        <w:gridCol w:w="1569"/>
        <w:gridCol w:w="1569"/>
        <w:gridCol w:w="1569"/>
        <w:gridCol w:w="1569"/>
      </w:tblGrid>
      <w:tr>
        <w:tc>
          <w:tcPr>
            <w:tcW w:type="dxa" w:w="360"/>
            <w:shd w:val="clear" w:color="auto" w:fill="000000"/>
          </w:tcPr>
          <w:p>
            <w:pPr>
              <w:spacing w:before="60" w:after="60"/>
              <w:jc w:val="center"/>
            </w:pPr>
            <w:r/>
            <w:r>
              <w:rPr>
                <w:rFonts w:ascii="Trebuchet MS" w:hAnsi="Trebuchet MS" w:cs="Trebuchet MS" w:eastAsia="Trebuchet MS"/>
                <w:b/>
                <w:i w:val="0"/>
                <w:color w:val="FFFFFF"/>
                <w:sz w:val="18"/>
              </w:rPr>
              <w:t>#</w:t>
            </w:r>
          </w:p>
        </w:tc>
        <w:tc>
          <w:tcPr>
            <w:tcW w:type="dxa" w:w="1152"/>
            <w:shd w:val="clear" w:color="auto" w:fill="000000"/>
          </w:tcPr>
          <w:p>
            <w:pPr>
              <w:spacing w:before="60" w:after="60"/>
              <w:jc w:val="center"/>
            </w:pPr>
            <w:r/>
            <w:r>
              <w:rPr>
                <w:rFonts w:ascii="Trebuchet MS" w:hAnsi="Trebuchet MS" w:cs="Trebuchet MS" w:eastAsia="Trebuchet MS"/>
                <w:b/>
                <w:i w:val="0"/>
                <w:color w:val="FFFFFF"/>
                <w:sz w:val="18"/>
              </w:rPr>
              <w:t>Priority</w:t>
            </w:r>
          </w:p>
        </w:tc>
        <w:tc>
          <w:tcPr>
            <w:tcW w:type="dxa" w:w="3024"/>
            <w:shd w:val="clear" w:color="auto" w:fill="000000"/>
          </w:tcPr>
          <w:p>
            <w:pPr>
              <w:spacing w:before="60" w:after="60"/>
              <w:jc w:val="center"/>
            </w:pPr>
            <w:r/>
            <w:r>
              <w:rPr>
                <w:rFonts w:ascii="Trebuchet MS" w:hAnsi="Trebuchet MS" w:cs="Trebuchet MS" w:eastAsia="Trebuchet MS"/>
                <w:b/>
                <w:i w:val="0"/>
                <w:color w:val="FFFFFF"/>
                <w:sz w:val="18"/>
              </w:rPr>
              <w:t>Action</w:t>
            </w:r>
          </w:p>
        </w:tc>
        <w:tc>
          <w:tcPr>
            <w:tcW w:type="dxa" w:w="1080"/>
            <w:shd w:val="clear" w:color="auto" w:fill="000000"/>
          </w:tcPr>
          <w:p>
            <w:pPr>
              <w:spacing w:before="60" w:after="60"/>
              <w:jc w:val="center"/>
            </w:pPr>
            <w:r/>
            <w:r>
              <w:rPr>
                <w:rFonts w:ascii="Trebuchet MS" w:hAnsi="Trebuchet MS" w:cs="Trebuchet MS" w:eastAsia="Trebuchet MS"/>
                <w:b/>
                <w:i w:val="0"/>
                <w:color w:val="FFFFFF"/>
                <w:sz w:val="18"/>
              </w:rPr>
              <w:t>Owner</w:t>
            </w:r>
          </w:p>
        </w:tc>
        <w:tc>
          <w:tcPr>
            <w:tcW w:type="dxa" w:w="1080"/>
            <w:shd w:val="clear" w:color="auto" w:fill="000000"/>
          </w:tcPr>
          <w:p>
            <w:pPr>
              <w:spacing w:before="60" w:after="60"/>
              <w:jc w:val="center"/>
            </w:pPr>
            <w:r/>
            <w:r>
              <w:rPr>
                <w:rFonts w:ascii="Trebuchet MS" w:hAnsi="Trebuchet MS" w:cs="Trebuchet MS" w:eastAsia="Trebuchet MS"/>
                <w:b/>
                <w:i w:val="0"/>
                <w:color w:val="FFFFFF"/>
                <w:sz w:val="18"/>
              </w:rPr>
              <w:t>Timeline</w:t>
            </w:r>
          </w:p>
        </w:tc>
        <w:tc>
          <w:tcPr>
            <w:tcW w:type="dxa" w:w="2808"/>
            <w:shd w:val="clear" w:color="auto" w:fill="000000"/>
          </w:tcPr>
          <w:p>
            <w:pPr>
              <w:spacing w:before="60" w:after="60"/>
              <w:jc w:val="center"/>
            </w:pPr>
            <w:r/>
            <w:r>
              <w:rPr>
                <w:rFonts w:ascii="Trebuchet MS" w:hAnsi="Trebuchet MS" w:cs="Trebuchet MS" w:eastAsia="Trebuchet MS"/>
                <w:b/>
                <w:i w:val="0"/>
                <w:color w:val="FFFFFF"/>
                <w:sz w:val="18"/>
              </w:rPr>
              <w:t>Expected Impact</w:t>
            </w:r>
          </w:p>
        </w:tc>
      </w:tr>
      <w:tr>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1</w:t>
            </w:r>
          </w:p>
        </w:tc>
        <w:tc>
          <w:tcPr>
            <w:tcW w:type="dxa" w:w="1152"/>
            <w:shd w:val="clear" w:color="auto" w:fill="F8F9FA"/>
          </w:tcPr>
          <w:p>
            <w:pPr>
              <w:spacing w:before="40" w:after="40" w:line="264" w:lineRule="auto"/>
              <w:jc w:val="left"/>
            </w:pPr>
            <w:r/>
            <w:r>
              <w:rPr>
                <w:rFonts w:ascii="Calibri" w:hAnsi="Calibri" w:cs="Calibri" w:eastAsia="Calibri"/>
                <w:b w:val="0"/>
                <w:i w:val="0"/>
                <w:color w:val="000000"/>
                <w:sz w:val="17"/>
              </w:rPr>
              <w:t>CRITICAL RPN=378</w:t>
            </w:r>
          </w:p>
        </w:tc>
        <w:tc>
          <w:tcPr>
            <w:tcW w:type="dxa" w:w="3024"/>
            <w:shd w:val="clear" w:color="auto" w:fill="F8F9FA"/>
          </w:tcPr>
          <w:p>
            <w:pPr>
              <w:spacing w:before="40" w:after="40" w:line="264" w:lineRule="auto"/>
              <w:jc w:val="left"/>
            </w:pPr>
            <w:r/>
            <w:r>
              <w:rPr>
                <w:rFonts w:ascii="Calibri" w:hAnsi="Calibri" w:cs="Calibri" w:eastAsia="Calibri"/>
                <w:b w:val="0"/>
                <w:i w:val="0"/>
                <w:color w:val="000000"/>
                <w:sz w:val="17"/>
              </w:rPr>
              <w:t>Automated renewal reminder (SMS+Email at 30-15-7 days)</w:t>
            </w:r>
          </w:p>
        </w:tc>
        <w:tc>
          <w:tcPr>
            <w:tcW w:type="dxa" w:w="1080"/>
            <w:shd w:val="clear" w:color="auto" w:fill="F8F9FA"/>
          </w:tcPr>
          <w:p>
            <w:pPr>
              <w:spacing w:before="40" w:after="40" w:line="264" w:lineRule="auto"/>
              <w:jc w:val="left"/>
            </w:pPr>
            <w:r/>
            <w:r>
              <w:rPr>
                <w:rFonts w:ascii="Calibri" w:hAnsi="Calibri" w:cs="Calibri" w:eastAsia="Calibri"/>
                <w:b w:val="0"/>
                <w:i w:val="0"/>
                <w:color w:val="000000"/>
                <w:sz w:val="17"/>
              </w:rPr>
              <w:t>IT+CRM</w:t>
            </w:r>
          </w:p>
        </w:tc>
        <w:tc>
          <w:tcPr>
            <w:tcW w:type="dxa" w:w="1080"/>
            <w:shd w:val="clear" w:color="auto" w:fill="F8F9FA"/>
          </w:tcPr>
          <w:p>
            <w:pPr>
              <w:spacing w:before="40" w:after="40" w:line="264" w:lineRule="auto"/>
              <w:jc w:val="left"/>
            </w:pPr>
            <w:r/>
            <w:r>
              <w:rPr>
                <w:rFonts w:ascii="Calibri" w:hAnsi="Calibri" w:cs="Calibri" w:eastAsia="Calibri"/>
                <w:b w:val="0"/>
                <w:i w:val="0"/>
                <w:color w:val="000000"/>
                <w:sz w:val="17"/>
              </w:rPr>
              <w:t>2 Weeks</w:t>
            </w:r>
          </w:p>
        </w:tc>
        <w:tc>
          <w:tcPr>
            <w:tcW w:type="dxa" w:w="2808"/>
            <w:shd w:val="clear" w:color="auto" w:fill="F8F9FA"/>
          </w:tcPr>
          <w:p>
            <w:pPr>
              <w:spacing w:before="40" w:after="40" w:line="264" w:lineRule="auto"/>
              <w:jc w:val="left"/>
            </w:pPr>
            <w:r/>
            <w:r>
              <w:rPr>
                <w:rFonts w:ascii="Calibri" w:hAnsi="Calibri" w:cs="Calibri" w:eastAsia="Calibri"/>
                <w:b w:val="0"/>
                <w:i w:val="0"/>
                <w:color w:val="000000"/>
                <w:sz w:val="17"/>
              </w:rPr>
              <w:t>Reduce silent churn ~40%</w:t>
            </w:r>
          </w:p>
        </w:tc>
      </w:tr>
      <w:tr>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2</w:t>
            </w:r>
          </w:p>
        </w:tc>
        <w:tc>
          <w:tcPr>
            <w:tcW w:type="dxa" w:w="1152"/>
            <w:shd w:val="clear" w:color="auto" w:fill="FFFFFF"/>
          </w:tcPr>
          <w:p>
            <w:pPr>
              <w:spacing w:before="40" w:after="40" w:line="264" w:lineRule="auto"/>
              <w:jc w:val="left"/>
            </w:pPr>
            <w:r/>
            <w:r>
              <w:rPr>
                <w:rFonts w:ascii="Calibri" w:hAnsi="Calibri" w:cs="Calibri" w:eastAsia="Calibri"/>
                <w:b w:val="0"/>
                <w:i w:val="0"/>
                <w:color w:val="000000"/>
                <w:sz w:val="17"/>
              </w:rPr>
              <w:t>CRITICAL RPN=336</w:t>
            </w:r>
          </w:p>
        </w:tc>
        <w:tc>
          <w:tcPr>
            <w:tcW w:type="dxa" w:w="3024"/>
            <w:shd w:val="clear" w:color="auto" w:fill="FFFFFF"/>
          </w:tcPr>
          <w:p>
            <w:pPr>
              <w:spacing w:before="40" w:after="40" w:line="264" w:lineRule="auto"/>
              <w:jc w:val="left"/>
            </w:pPr>
            <w:r/>
            <w:r>
              <w:rPr>
                <w:rFonts w:ascii="Calibri" w:hAnsi="Calibri" w:cs="Calibri" w:eastAsia="Calibri"/>
                <w:b w:val="0"/>
                <w:i w:val="0"/>
                <w:color w:val="000000"/>
                <w:sz w:val="17"/>
              </w:rPr>
              <w:t>Monthly Fitness Assessment + personalised progress reports</w:t>
            </w:r>
          </w:p>
        </w:tc>
        <w:tc>
          <w:tcPr>
            <w:tcW w:type="dxa" w:w="1080"/>
            <w:shd w:val="clear" w:color="auto" w:fill="FFFFFF"/>
          </w:tcPr>
          <w:p>
            <w:pPr>
              <w:spacing w:before="40" w:after="40" w:line="264" w:lineRule="auto"/>
              <w:jc w:val="left"/>
            </w:pPr>
            <w:r/>
            <w:r>
              <w:rPr>
                <w:rFonts w:ascii="Calibri" w:hAnsi="Calibri" w:cs="Calibri" w:eastAsia="Calibri"/>
                <w:b w:val="0"/>
                <w:i w:val="0"/>
                <w:color w:val="000000"/>
                <w:sz w:val="17"/>
              </w:rPr>
              <w:t>Training</w:t>
            </w:r>
          </w:p>
        </w:tc>
        <w:tc>
          <w:tcPr>
            <w:tcW w:type="dxa" w:w="1080"/>
            <w:shd w:val="clear" w:color="auto" w:fill="FFFFFF"/>
          </w:tcPr>
          <w:p>
            <w:pPr>
              <w:spacing w:before="40" w:after="40" w:line="264" w:lineRule="auto"/>
              <w:jc w:val="left"/>
            </w:pPr>
            <w:r/>
            <w:r>
              <w:rPr>
                <w:rFonts w:ascii="Calibri" w:hAnsi="Calibri" w:cs="Calibri" w:eastAsia="Calibri"/>
                <w:b w:val="0"/>
                <w:i w:val="0"/>
                <w:color w:val="000000"/>
                <w:sz w:val="17"/>
              </w:rPr>
              <w:t>1 Month</w:t>
            </w:r>
          </w:p>
        </w:tc>
        <w:tc>
          <w:tcPr>
            <w:tcW w:type="dxa" w:w="2808"/>
            <w:shd w:val="clear" w:color="auto" w:fill="FFFFFF"/>
          </w:tcPr>
          <w:p>
            <w:pPr>
              <w:spacing w:before="40" w:after="40" w:line="264" w:lineRule="auto"/>
              <w:jc w:val="left"/>
            </w:pPr>
            <w:r/>
            <w:r>
              <w:rPr>
                <w:rFonts w:ascii="Calibri" w:hAnsi="Calibri" w:cs="Calibri" w:eastAsia="Calibri"/>
                <w:b w:val="0"/>
                <w:i w:val="0"/>
                <w:color w:val="000000"/>
                <w:sz w:val="17"/>
              </w:rPr>
              <w:t>Reduce goal-dropout</w:t>
            </w:r>
          </w:p>
        </w:tc>
      </w:tr>
      <w:tr>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3</w:t>
            </w:r>
          </w:p>
        </w:tc>
        <w:tc>
          <w:tcPr>
            <w:tcW w:type="dxa" w:w="1152"/>
            <w:shd w:val="clear" w:color="auto" w:fill="F8F9FA"/>
          </w:tcPr>
          <w:p>
            <w:pPr>
              <w:spacing w:before="40" w:after="40" w:line="264" w:lineRule="auto"/>
              <w:jc w:val="left"/>
            </w:pPr>
            <w:r/>
            <w:r>
              <w:rPr>
                <w:rFonts w:ascii="Calibri" w:hAnsi="Calibri" w:cs="Calibri" w:eastAsia="Calibri"/>
                <w:b w:val="0"/>
                <w:i w:val="0"/>
                <w:color w:val="000000"/>
                <w:sz w:val="17"/>
              </w:rPr>
              <w:t>CRITICAL RPN=336</w:t>
            </w:r>
          </w:p>
        </w:tc>
        <w:tc>
          <w:tcPr>
            <w:tcW w:type="dxa" w:w="3024"/>
            <w:shd w:val="clear" w:color="auto" w:fill="F8F9FA"/>
          </w:tcPr>
          <w:p>
            <w:pPr>
              <w:spacing w:before="40" w:after="40" w:line="264" w:lineRule="auto"/>
              <w:jc w:val="left"/>
            </w:pPr>
            <w:r/>
            <w:r>
              <w:rPr>
                <w:rFonts w:ascii="Calibri" w:hAnsi="Calibri" w:cs="Calibri" w:eastAsia="Calibri"/>
                <w:b w:val="0"/>
                <w:i w:val="0"/>
                <w:color w:val="000000"/>
                <w:sz w:val="17"/>
              </w:rPr>
              <w:t>Live Crowd Tracker (mobile app or WhatsApp)</w:t>
            </w:r>
          </w:p>
        </w:tc>
        <w:tc>
          <w:tcPr>
            <w:tcW w:type="dxa" w:w="1080"/>
            <w:shd w:val="clear" w:color="auto" w:fill="F8F9FA"/>
          </w:tcPr>
          <w:p>
            <w:pPr>
              <w:spacing w:before="40" w:after="40" w:line="264" w:lineRule="auto"/>
              <w:jc w:val="left"/>
            </w:pPr>
            <w:r/>
            <w:r>
              <w:rPr>
                <w:rFonts w:ascii="Calibri" w:hAnsi="Calibri" w:cs="Calibri" w:eastAsia="Calibri"/>
                <w:b w:val="0"/>
                <w:i w:val="0"/>
                <w:color w:val="000000"/>
                <w:sz w:val="17"/>
              </w:rPr>
              <w:t>IT</w:t>
            </w:r>
          </w:p>
        </w:tc>
        <w:tc>
          <w:tcPr>
            <w:tcW w:type="dxa" w:w="1080"/>
            <w:shd w:val="clear" w:color="auto" w:fill="F8F9FA"/>
          </w:tcPr>
          <w:p>
            <w:pPr>
              <w:spacing w:before="40" w:after="40" w:line="264" w:lineRule="auto"/>
              <w:jc w:val="left"/>
            </w:pPr>
            <w:r/>
            <w:r>
              <w:rPr>
                <w:rFonts w:ascii="Calibri" w:hAnsi="Calibri" w:cs="Calibri" w:eastAsia="Calibri"/>
                <w:b w:val="0"/>
                <w:i w:val="0"/>
                <w:color w:val="000000"/>
                <w:sz w:val="17"/>
              </w:rPr>
              <w:t>1 Month</w:t>
            </w:r>
          </w:p>
        </w:tc>
        <w:tc>
          <w:tcPr>
            <w:tcW w:type="dxa" w:w="2808"/>
            <w:shd w:val="clear" w:color="auto" w:fill="F8F9FA"/>
          </w:tcPr>
          <w:p>
            <w:pPr>
              <w:spacing w:before="40" w:after="40" w:line="264" w:lineRule="auto"/>
              <w:jc w:val="left"/>
            </w:pPr>
            <w:r/>
            <w:r>
              <w:rPr>
                <w:rFonts w:ascii="Calibri" w:hAnsi="Calibri" w:cs="Calibri" w:eastAsia="Calibri"/>
                <w:b w:val="0"/>
                <w:i w:val="0"/>
                <w:color w:val="000000"/>
                <w:sz w:val="17"/>
              </w:rPr>
              <w:t>Reduce peak frustration 60%</w:t>
            </w:r>
          </w:p>
        </w:tc>
      </w:tr>
      <w:tr>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4</w:t>
            </w:r>
          </w:p>
        </w:tc>
        <w:tc>
          <w:tcPr>
            <w:tcW w:type="dxa" w:w="1152"/>
            <w:shd w:val="clear" w:color="auto" w:fill="FFFFFF"/>
          </w:tcPr>
          <w:p>
            <w:pPr>
              <w:spacing w:before="40" w:after="40" w:line="264" w:lineRule="auto"/>
              <w:jc w:val="left"/>
            </w:pPr>
            <w:r/>
            <w:r>
              <w:rPr>
                <w:rFonts w:ascii="Calibri" w:hAnsi="Calibri" w:cs="Calibri" w:eastAsia="Calibri"/>
                <w:b w:val="0"/>
                <w:i w:val="0"/>
                <w:color w:val="000000"/>
                <w:sz w:val="17"/>
              </w:rPr>
              <w:t>CRITICAL RPN=320</w:t>
            </w:r>
          </w:p>
        </w:tc>
        <w:tc>
          <w:tcPr>
            <w:tcW w:type="dxa" w:w="3024"/>
            <w:shd w:val="clear" w:color="auto" w:fill="FFFFFF"/>
          </w:tcPr>
          <w:p>
            <w:pPr>
              <w:spacing w:before="40" w:after="40" w:line="264" w:lineRule="auto"/>
              <w:jc w:val="left"/>
            </w:pPr>
            <w:r/>
            <w:r>
              <w:rPr>
                <w:rFonts w:ascii="Calibri" w:hAnsi="Calibri" w:cs="Calibri" w:eastAsia="Calibri"/>
                <w:b w:val="0"/>
                <w:i w:val="0"/>
                <w:color w:val="000000"/>
                <w:sz w:val="17"/>
              </w:rPr>
              <w:t>Annual/Quarterly upgrade incentives (5-15% discount)</w:t>
            </w:r>
          </w:p>
        </w:tc>
        <w:tc>
          <w:tcPr>
            <w:tcW w:type="dxa" w:w="1080"/>
            <w:shd w:val="clear" w:color="auto" w:fill="FFFFFF"/>
          </w:tcPr>
          <w:p>
            <w:pPr>
              <w:spacing w:before="40" w:after="40" w:line="264" w:lineRule="auto"/>
              <w:jc w:val="left"/>
            </w:pPr>
            <w:r/>
            <w:r>
              <w:rPr>
                <w:rFonts w:ascii="Calibri" w:hAnsi="Calibri" w:cs="Calibri" w:eastAsia="Calibri"/>
                <w:b w:val="0"/>
                <w:i w:val="0"/>
                <w:color w:val="000000"/>
                <w:sz w:val="17"/>
              </w:rPr>
              <w:t>Sales</w:t>
            </w:r>
          </w:p>
        </w:tc>
        <w:tc>
          <w:tcPr>
            <w:tcW w:type="dxa" w:w="1080"/>
            <w:shd w:val="clear" w:color="auto" w:fill="FFFFFF"/>
          </w:tcPr>
          <w:p>
            <w:pPr>
              <w:spacing w:before="40" w:after="40" w:line="264" w:lineRule="auto"/>
              <w:jc w:val="left"/>
            </w:pPr>
            <w:r/>
            <w:r>
              <w:rPr>
                <w:rFonts w:ascii="Calibri" w:hAnsi="Calibri" w:cs="Calibri" w:eastAsia="Calibri"/>
                <w:b w:val="0"/>
                <w:i w:val="0"/>
                <w:color w:val="000000"/>
                <w:sz w:val="17"/>
              </w:rPr>
              <w:t>2 Weeks</w:t>
            </w:r>
          </w:p>
        </w:tc>
        <w:tc>
          <w:tcPr>
            <w:tcW w:type="dxa" w:w="2808"/>
            <w:shd w:val="clear" w:color="auto" w:fill="FFFFFF"/>
          </w:tcPr>
          <w:p>
            <w:pPr>
              <w:spacing w:before="40" w:after="40" w:line="264" w:lineRule="auto"/>
              <w:jc w:val="left"/>
            </w:pPr>
            <w:r/>
            <w:r>
              <w:rPr>
                <w:rFonts w:ascii="Calibri" w:hAnsi="Calibri" w:cs="Calibri" w:eastAsia="Calibri"/>
                <w:b w:val="0"/>
                <w:i w:val="0"/>
                <w:color w:val="000000"/>
                <w:sz w:val="17"/>
              </w:rPr>
              <w:t>Convert 20% monthly to longer plans</w:t>
            </w:r>
          </w:p>
        </w:tc>
      </w:tr>
      <w:tr>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5</w:t>
            </w:r>
          </w:p>
        </w:tc>
        <w:tc>
          <w:tcPr>
            <w:tcW w:type="dxa" w:w="1152"/>
            <w:shd w:val="clear" w:color="auto" w:fill="F8F9FA"/>
          </w:tcPr>
          <w:p>
            <w:pPr>
              <w:spacing w:before="40" w:after="40" w:line="264" w:lineRule="auto"/>
              <w:jc w:val="left"/>
            </w:pPr>
            <w:r/>
            <w:r>
              <w:rPr>
                <w:rFonts w:ascii="Calibri" w:hAnsi="Calibri" w:cs="Calibri" w:eastAsia="Calibri"/>
                <w:b w:val="0"/>
                <w:i w:val="0"/>
                <w:color w:val="000000"/>
                <w:sz w:val="17"/>
              </w:rPr>
              <w:t>CRITICAL RPN=240</w:t>
            </w:r>
          </w:p>
        </w:tc>
        <w:tc>
          <w:tcPr>
            <w:tcW w:type="dxa" w:w="3024"/>
            <w:shd w:val="clear" w:color="auto" w:fill="F8F9FA"/>
          </w:tcPr>
          <w:p>
            <w:pPr>
              <w:spacing w:before="40" w:after="40" w:line="264" w:lineRule="auto"/>
              <w:jc w:val="left"/>
            </w:pPr>
            <w:r/>
            <w:r>
              <w:rPr>
                <w:rFonts w:ascii="Calibri" w:hAnsi="Calibri" w:cs="Calibri" w:eastAsia="Calibri"/>
                <w:b w:val="0"/>
                <w:i w:val="0"/>
                <w:color w:val="000000"/>
                <w:sz w:val="17"/>
              </w:rPr>
              <w:t>Mandatory structured onboarding (7-day program)</w:t>
            </w:r>
          </w:p>
        </w:tc>
        <w:tc>
          <w:tcPr>
            <w:tcW w:type="dxa" w:w="1080"/>
            <w:shd w:val="clear" w:color="auto" w:fill="F8F9FA"/>
          </w:tcPr>
          <w:p>
            <w:pPr>
              <w:spacing w:before="40" w:after="40" w:line="264" w:lineRule="auto"/>
              <w:jc w:val="left"/>
            </w:pPr>
            <w:r/>
            <w:r>
              <w:rPr>
                <w:rFonts w:ascii="Calibri" w:hAnsi="Calibri" w:cs="Calibri" w:eastAsia="Calibri"/>
                <w:b w:val="0"/>
                <w:i w:val="0"/>
                <w:color w:val="000000"/>
                <w:sz w:val="17"/>
              </w:rPr>
              <w:t>Floor Mgr</w:t>
            </w:r>
          </w:p>
        </w:tc>
        <w:tc>
          <w:tcPr>
            <w:tcW w:type="dxa" w:w="1080"/>
            <w:shd w:val="clear" w:color="auto" w:fill="F8F9FA"/>
          </w:tcPr>
          <w:p>
            <w:pPr>
              <w:spacing w:before="40" w:after="40" w:line="264" w:lineRule="auto"/>
              <w:jc w:val="left"/>
            </w:pPr>
            <w:r/>
            <w:r>
              <w:rPr>
                <w:rFonts w:ascii="Calibri" w:hAnsi="Calibri" w:cs="Calibri" w:eastAsia="Calibri"/>
                <w:b w:val="0"/>
                <w:i w:val="0"/>
                <w:color w:val="000000"/>
                <w:sz w:val="17"/>
              </w:rPr>
              <w:t>1 Week</w:t>
            </w:r>
          </w:p>
        </w:tc>
        <w:tc>
          <w:tcPr>
            <w:tcW w:type="dxa" w:w="2808"/>
            <w:shd w:val="clear" w:color="auto" w:fill="F8F9FA"/>
          </w:tcPr>
          <w:p>
            <w:pPr>
              <w:spacing w:before="40" w:after="40" w:line="264" w:lineRule="auto"/>
              <w:jc w:val="left"/>
            </w:pPr>
            <w:r/>
            <w:r>
              <w:rPr>
                <w:rFonts w:ascii="Calibri" w:hAnsi="Calibri" w:cs="Calibri" w:eastAsia="Calibri"/>
                <w:b w:val="0"/>
                <w:i w:val="0"/>
                <w:color w:val="000000"/>
                <w:sz w:val="17"/>
              </w:rPr>
              <w:t>Reduce Month-1 churn</w:t>
            </w:r>
          </w:p>
        </w:tc>
      </w:tr>
      <w:tr>
        <w:tc>
          <w:tcPr>
            <w:tcW w:type="dxa" w:w="360"/>
            <w:shd w:val="clear" w:color="auto" w:fill="FFFFFF"/>
          </w:tcPr>
          <w:p>
            <w:pPr>
              <w:spacing w:before="40" w:after="40" w:line="264" w:lineRule="auto"/>
              <w:jc w:val="left"/>
            </w:pPr>
            <w:r/>
            <w:r>
              <w:rPr>
                <w:rFonts w:ascii="Calibri" w:hAnsi="Calibri" w:cs="Calibri" w:eastAsia="Calibri"/>
                <w:b w:val="0"/>
                <w:i w:val="0"/>
                <w:color w:val="000000"/>
                <w:sz w:val="17"/>
              </w:rPr>
              <w:t>6</w:t>
            </w:r>
          </w:p>
        </w:tc>
        <w:tc>
          <w:tcPr>
            <w:tcW w:type="dxa" w:w="1152"/>
            <w:shd w:val="clear" w:color="auto" w:fill="FFFFFF"/>
          </w:tcPr>
          <w:p>
            <w:pPr>
              <w:spacing w:before="40" w:after="40" w:line="264" w:lineRule="auto"/>
              <w:jc w:val="left"/>
            </w:pPr>
            <w:r/>
            <w:r>
              <w:rPr>
                <w:rFonts w:ascii="Calibri" w:hAnsi="Calibri" w:cs="Calibri" w:eastAsia="Calibri"/>
                <w:b w:val="0"/>
                <w:i w:val="0"/>
                <w:color w:val="000000"/>
                <w:sz w:val="17"/>
              </w:rPr>
              <w:t>CRITICAL RPN=210</w:t>
            </w:r>
          </w:p>
        </w:tc>
        <w:tc>
          <w:tcPr>
            <w:tcW w:type="dxa" w:w="3024"/>
            <w:shd w:val="clear" w:color="auto" w:fill="FFFFFF"/>
          </w:tcPr>
          <w:p>
            <w:pPr>
              <w:spacing w:before="40" w:after="40" w:line="264" w:lineRule="auto"/>
              <w:jc w:val="left"/>
            </w:pPr>
            <w:r/>
            <w:r>
              <w:rPr>
                <w:rFonts w:ascii="Calibri" w:hAnsi="Calibri" w:cs="Calibri" w:eastAsia="Calibri"/>
                <w:b w:val="0"/>
                <w:i w:val="0"/>
                <w:color w:val="000000"/>
                <w:sz w:val="17"/>
              </w:rPr>
              <w:t>Floor trainer 30-min non-PT check-in rounds</w:t>
            </w:r>
          </w:p>
        </w:tc>
        <w:tc>
          <w:tcPr>
            <w:tcW w:type="dxa" w:w="1080"/>
            <w:shd w:val="clear" w:color="auto" w:fill="FFFFFF"/>
          </w:tcPr>
          <w:p>
            <w:pPr>
              <w:spacing w:before="40" w:after="40" w:line="264" w:lineRule="auto"/>
              <w:jc w:val="left"/>
            </w:pPr>
            <w:r/>
            <w:r>
              <w:rPr>
                <w:rFonts w:ascii="Calibri" w:hAnsi="Calibri" w:cs="Calibri" w:eastAsia="Calibri"/>
                <w:b w:val="0"/>
                <w:i w:val="0"/>
                <w:color w:val="000000"/>
                <w:sz w:val="17"/>
              </w:rPr>
              <w:t>Trainers</w:t>
            </w:r>
          </w:p>
        </w:tc>
        <w:tc>
          <w:tcPr>
            <w:tcW w:type="dxa" w:w="1080"/>
            <w:shd w:val="clear" w:color="auto" w:fill="FFFFFF"/>
          </w:tcPr>
          <w:p>
            <w:pPr>
              <w:spacing w:before="40" w:after="40" w:line="264" w:lineRule="auto"/>
              <w:jc w:val="left"/>
            </w:pPr>
            <w:r/>
            <w:r>
              <w:rPr>
                <w:rFonts w:ascii="Calibri" w:hAnsi="Calibri" w:cs="Calibri" w:eastAsia="Calibri"/>
                <w:b w:val="0"/>
                <w:i w:val="0"/>
                <w:color w:val="000000"/>
                <w:sz w:val="17"/>
              </w:rPr>
              <w:t>Immediate</w:t>
            </w:r>
          </w:p>
        </w:tc>
        <w:tc>
          <w:tcPr>
            <w:tcW w:type="dxa" w:w="2808"/>
            <w:shd w:val="clear" w:color="auto" w:fill="FFFFFF"/>
          </w:tcPr>
          <w:p>
            <w:pPr>
              <w:spacing w:before="40" w:after="40" w:line="264" w:lineRule="auto"/>
              <w:jc w:val="left"/>
            </w:pPr>
            <w:r/>
            <w:r>
              <w:rPr>
                <w:rFonts w:ascii="Calibri" w:hAnsi="Calibri" w:cs="Calibri" w:eastAsia="Calibri"/>
                <w:b w:val="0"/>
                <w:i w:val="0"/>
                <w:color w:val="000000"/>
                <w:sz w:val="17"/>
              </w:rPr>
              <w:t>Improve satisfaction +0.5pt</w:t>
            </w:r>
          </w:p>
        </w:tc>
      </w:tr>
      <w:tr>
        <w:tc>
          <w:tcPr>
            <w:tcW w:type="dxa" w:w="360"/>
            <w:shd w:val="clear" w:color="auto" w:fill="F8F9FA"/>
          </w:tcPr>
          <w:p>
            <w:pPr>
              <w:spacing w:before="40" w:after="40" w:line="264" w:lineRule="auto"/>
              <w:jc w:val="left"/>
            </w:pPr>
            <w:r/>
            <w:r>
              <w:rPr>
                <w:rFonts w:ascii="Calibri" w:hAnsi="Calibri" w:cs="Calibri" w:eastAsia="Calibri"/>
                <w:b w:val="0"/>
                <w:i w:val="0"/>
                <w:color w:val="000000"/>
                <w:sz w:val="17"/>
              </w:rPr>
              <w:t>7</w:t>
            </w:r>
          </w:p>
        </w:tc>
        <w:tc>
          <w:tcPr>
            <w:tcW w:type="dxa" w:w="1152"/>
            <w:shd w:val="clear" w:color="auto" w:fill="F8F9FA"/>
          </w:tcPr>
          <w:p>
            <w:pPr>
              <w:spacing w:before="40" w:after="40" w:line="264" w:lineRule="auto"/>
              <w:jc w:val="left"/>
            </w:pPr>
            <w:r/>
            <w:r>
              <w:rPr>
                <w:rFonts w:ascii="Calibri" w:hAnsi="Calibri" w:cs="Calibri" w:eastAsia="Calibri"/>
                <w:b w:val="0"/>
                <w:i w:val="0"/>
                <w:color w:val="000000"/>
                <w:sz w:val="17"/>
              </w:rPr>
              <w:t>HIGH RPN=140</w:t>
            </w:r>
          </w:p>
        </w:tc>
        <w:tc>
          <w:tcPr>
            <w:tcW w:type="dxa" w:w="3024"/>
            <w:shd w:val="clear" w:color="auto" w:fill="F8F9FA"/>
          </w:tcPr>
          <w:p>
            <w:pPr>
              <w:spacing w:before="40" w:after="40" w:line="264" w:lineRule="auto"/>
              <w:jc w:val="left"/>
            </w:pPr>
            <w:r/>
            <w:r>
              <w:rPr>
                <w:rFonts w:ascii="Calibri" w:hAnsi="Calibri" w:cs="Calibri" w:eastAsia="Calibri"/>
                <w:b w:val="0"/>
                <w:i w:val="0"/>
                <w:color w:val="000000"/>
                <w:sz w:val="17"/>
              </w:rPr>
              <w:t>Auto payment retry + billing notification</w:t>
            </w:r>
          </w:p>
        </w:tc>
        <w:tc>
          <w:tcPr>
            <w:tcW w:type="dxa" w:w="1080"/>
            <w:shd w:val="clear" w:color="auto" w:fill="F8F9FA"/>
          </w:tcPr>
          <w:p>
            <w:pPr>
              <w:spacing w:before="40" w:after="40" w:line="264" w:lineRule="auto"/>
              <w:jc w:val="left"/>
            </w:pPr>
            <w:r/>
            <w:r>
              <w:rPr>
                <w:rFonts w:ascii="Calibri" w:hAnsi="Calibri" w:cs="Calibri" w:eastAsia="Calibri"/>
                <w:b w:val="0"/>
                <w:i w:val="0"/>
                <w:color w:val="000000"/>
                <w:sz w:val="17"/>
              </w:rPr>
              <w:t>Finance+IT</w:t>
            </w:r>
          </w:p>
        </w:tc>
        <w:tc>
          <w:tcPr>
            <w:tcW w:type="dxa" w:w="1080"/>
            <w:shd w:val="clear" w:color="auto" w:fill="F8F9FA"/>
          </w:tcPr>
          <w:p>
            <w:pPr>
              <w:spacing w:before="40" w:after="40" w:line="264" w:lineRule="auto"/>
              <w:jc w:val="left"/>
            </w:pPr>
            <w:r/>
            <w:r>
              <w:rPr>
                <w:rFonts w:ascii="Calibri" w:hAnsi="Calibri" w:cs="Calibri" w:eastAsia="Calibri"/>
                <w:b w:val="0"/>
                <w:i w:val="0"/>
                <w:color w:val="000000"/>
                <w:sz w:val="17"/>
              </w:rPr>
              <w:t>3 Weeks</w:t>
            </w:r>
          </w:p>
        </w:tc>
        <w:tc>
          <w:tcPr>
            <w:tcW w:type="dxa" w:w="2808"/>
            <w:shd w:val="clear" w:color="auto" w:fill="F8F9FA"/>
          </w:tcPr>
          <w:p>
            <w:pPr>
              <w:spacing w:before="40" w:after="40" w:line="264" w:lineRule="auto"/>
              <w:jc w:val="left"/>
            </w:pPr>
            <w:r/>
            <w:r>
              <w:rPr>
                <w:rFonts w:ascii="Calibri" w:hAnsi="Calibri" w:cs="Calibri" w:eastAsia="Calibri"/>
                <w:b w:val="0"/>
                <w:i w:val="0"/>
                <w:color w:val="000000"/>
                <w:sz w:val="17"/>
              </w:rPr>
              <w:t>Eliminate payment-lapse churn</w:t>
            </w:r>
          </w:p>
        </w:tc>
      </w:tr>
    </w:tbl>
    <w:p>
      <w:r>
        <w:br w:type="page"/>
      </w:r>
    </w:p>
    <w:p>
      <w:pPr>
        <w:spacing w:before="240" w:after="80"/>
        <w:jc w:val="left"/>
        <w:pBdr>
          <w:bottom w:val="single" w:sz="16" w:space="2" w:color="000000"/>
        </w:pBdr>
      </w:pPr>
      <w:r>
        <w:rPr>
          <w:rFonts w:ascii="Trebuchet MS" w:hAnsi="Trebuchet MS" w:cs="Trebuchet MS" w:eastAsia="Trebuchet MS"/>
          <w:b/>
          <w:i w:val="0"/>
          <w:color w:val="000000"/>
          <w:sz w:val="32"/>
        </w:rPr>
        <w:t>8. C - CONTROL PHASE: P-CHART</w:t>
      </w:r>
    </w:p>
    <w:p>
      <w:pPr>
        <w:spacing w:before="160" w:after="40"/>
        <w:jc w:val="left"/>
      </w:pPr>
      <w:r>
        <w:rPr>
          <w:rFonts w:ascii="Trebuchet MS" w:hAnsi="Trebuchet MS" w:cs="Trebuchet MS" w:eastAsia="Trebuchet MS"/>
          <w:b/>
          <w:i w:val="0"/>
          <w:color w:val="000000"/>
          <w:sz w:val="24"/>
        </w:rPr>
        <w:t>8.1 P-Chart - Statistical Process Control</w:t>
      </w:r>
    </w:p>
    <w:p>
      <w:pPr>
        <w:spacing w:before="0" w:after="60" w:line="276" w:lineRule="auto"/>
        <w:jc w:val="both"/>
      </w:pPr>
      <w:r>
        <w:rPr>
          <w:rFonts w:ascii="Calibri" w:hAnsi="Calibri" w:cs="Calibri" w:eastAsia="Calibri"/>
          <w:b w:val="0"/>
          <w:i w:val="0"/>
          <w:color w:val="000000"/>
          <w:sz w:val="21"/>
        </w:rPr>
        <w:t>The P-Chart (Proportion Control Chart) monitors a binary outcome - member churns (1) or is retained (0). It tracks monthly churn proportion against 3-sigma control limits derived from the binomial distribution.</w:t>
      </w:r>
    </w:p>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P-CHART MATHEMATICAL FORMULAS: </w:t>
      </w:r>
      <w:r>
        <w:rPr>
          <w:rFonts w:ascii="Calibri" w:hAnsi="Calibri" w:cs="Calibri" w:eastAsia="Calibri"/>
          <w:b w:val="0"/>
          <w:i/>
          <w:color w:val="000000"/>
          <w:sz w:val="20"/>
        </w:rPr>
        <w:t>Centre Line (CL)  = p-bar = Total churned / Total eligible (all months)</w:t>
        <w:br/>
        <w:t>UCL = p-bar + 3 x sqrt(p-bar x (1 - p-bar) / n_i)</w:t>
        <w:br/>
        <w:t>LCL = max(0,  p-bar - 3 x sqrt(p-bar x (1 - p-bar) / n_i))</w:t>
        <w:br/>
        <w:t>Where n_i = eligible members in month i</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D1D5DB"/>
          <w:insideV w:val="none"/>
        </w:tblBorders>
        <w:tblCellMar>
          <w:top w:w="70" w:type="dxa"/>
          <w:bottom w:w="70" w:type="dxa"/>
          <w:left w:w="110" w:type="dxa"/>
          <w:right w:w="110" w:type="dxa"/>
        </w:tblCellMar>
      </w:tblPr>
      <w:tblGrid>
        <w:gridCol w:w="3137"/>
        <w:gridCol w:w="3137"/>
        <w:gridCol w:w="3137"/>
      </w:tblGrid>
      <w:tr>
        <w:tc>
          <w:tcPr>
            <w:tcW w:type="dxa" w:w="3168"/>
            <w:shd w:val="clear" w:color="auto" w:fill="000000"/>
          </w:tcPr>
          <w:p>
            <w:pPr>
              <w:spacing w:before="60" w:after="60"/>
              <w:jc w:val="center"/>
            </w:pPr>
            <w:r/>
            <w:r>
              <w:rPr>
                <w:rFonts w:ascii="Trebuchet MS" w:hAnsi="Trebuchet MS" w:cs="Trebuchet MS" w:eastAsia="Trebuchet MS"/>
                <w:b/>
                <w:i w:val="0"/>
                <w:color w:val="FFFFFF"/>
                <w:sz w:val="18"/>
              </w:rPr>
              <w:t>Parameter</w:t>
            </w:r>
          </w:p>
        </w:tc>
        <w:tc>
          <w:tcPr>
            <w:tcW w:type="dxa" w:w="3168"/>
            <w:shd w:val="clear" w:color="auto" w:fill="000000"/>
          </w:tcPr>
          <w:p>
            <w:pPr>
              <w:spacing w:before="60" w:after="60"/>
              <w:jc w:val="center"/>
            </w:pPr>
            <w:r/>
            <w:r>
              <w:rPr>
                <w:rFonts w:ascii="Trebuchet MS" w:hAnsi="Trebuchet MS" w:cs="Trebuchet MS" w:eastAsia="Trebuchet MS"/>
                <w:b/>
                <w:i w:val="0"/>
                <w:color w:val="FFFFFF"/>
                <w:sz w:val="18"/>
              </w:rPr>
              <w:t>Pre-Improvement (Y1, 12 months)</w:t>
            </w:r>
          </w:p>
        </w:tc>
        <w:tc>
          <w:tcPr>
            <w:tcW w:type="dxa" w:w="3168"/>
            <w:shd w:val="clear" w:color="auto" w:fill="000000"/>
          </w:tcPr>
          <w:p>
            <w:pPr>
              <w:spacing w:before="60" w:after="60"/>
              <w:jc w:val="center"/>
            </w:pPr>
            <w:r/>
            <w:r>
              <w:rPr>
                <w:rFonts w:ascii="Trebuchet MS" w:hAnsi="Trebuchet MS" w:cs="Trebuchet MS" w:eastAsia="Trebuchet MS"/>
                <w:b/>
                <w:i w:val="0"/>
                <w:color w:val="FFFFFF"/>
                <w:sz w:val="18"/>
              </w:rPr>
              <w:t>Post-Improvement (Y2, 6 months)</w:t>
            </w:r>
          </w:p>
        </w:tc>
      </w:tr>
      <w:tr>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Monitoring Period</w:t>
            </w:r>
          </w:p>
        </w:tc>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January - December Year 1</w:t>
            </w:r>
          </w:p>
        </w:tc>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January - June Year 2</w:t>
            </w:r>
          </w:p>
        </w:tc>
      </w:tr>
      <w:tr>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Avg Eligible Members/Month</w:t>
            </w:r>
          </w:p>
        </w:tc>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~107</w:t>
            </w:r>
          </w:p>
        </w:tc>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~109</w:t>
            </w:r>
          </w:p>
        </w:tc>
      </w:tr>
      <w:tr>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Avg Monthly Churn Rate (CL)</w:t>
            </w:r>
          </w:p>
        </w:tc>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26.9%</w:t>
            </w:r>
          </w:p>
        </w:tc>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14.7%</w:t>
            </w:r>
          </w:p>
        </w:tc>
      </w:tr>
      <w:tr>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Upper Control Limit (UCL)</w:t>
            </w:r>
          </w:p>
        </w:tc>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~40.0%</w:t>
            </w:r>
          </w:p>
        </w:tc>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~25.5%</w:t>
            </w:r>
          </w:p>
        </w:tc>
      </w:tr>
      <w:tr>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Lower Control Limit (LCL)</w:t>
            </w:r>
          </w:p>
        </w:tc>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~13.8%</w:t>
            </w:r>
          </w:p>
        </w:tc>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~4.0%</w:t>
            </w:r>
          </w:p>
        </w:tc>
      </w:tr>
      <w:tr>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Out-of-Control Points</w:t>
            </w:r>
          </w:p>
        </w:tc>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0 (stable process)</w:t>
            </w:r>
          </w:p>
        </w:tc>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0 (stable process)</w:t>
            </w:r>
          </w:p>
        </w:tc>
      </w:tr>
      <w:tr>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Process Status</w:t>
            </w:r>
          </w:p>
        </w:tc>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Stable but HIGH churn</w:t>
            </w:r>
          </w:p>
        </w:tc>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Stable and IMPROVED</w:t>
            </w:r>
          </w:p>
        </w:tc>
      </w:tr>
      <w:tr>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Sigma Level</w:t>
            </w:r>
          </w:p>
        </w:tc>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~2.1 sigma</w:t>
            </w:r>
          </w:p>
        </w:tc>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~2.6 sigma (improving)</w:t>
            </w:r>
          </w:p>
        </w:tc>
      </w:tr>
      <w:tr>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Churn Reduction</w:t>
            </w:r>
          </w:p>
        </w:tc>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Baseline reference</w:t>
            </w:r>
          </w:p>
        </w:tc>
        <w:tc>
          <w:tcPr>
            <w:tcW w:type="dxa" w:w="3168"/>
            <w:shd w:val="clear" w:color="auto" w:fill="F8F9FA"/>
          </w:tcPr>
          <w:p>
            <w:pPr>
              <w:spacing w:before="40" w:after="40" w:line="264" w:lineRule="auto"/>
              <w:jc w:val="left"/>
            </w:pPr>
            <w:r/>
            <w:r>
              <w:rPr>
                <w:rFonts w:ascii="Calibri" w:hAnsi="Calibri" w:cs="Calibri" w:eastAsia="Calibri"/>
                <w:b w:val="0"/>
                <w:i w:val="0"/>
                <w:color w:val="000000"/>
                <w:sz w:val="17"/>
              </w:rPr>
              <w:t>45.2% reduction achieved</w:t>
            </w:r>
          </w:p>
        </w:tc>
      </w:tr>
      <w:tr>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Target Achievement</w:t>
            </w:r>
          </w:p>
        </w:tc>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N/A (pre-improvement)</w:t>
            </w:r>
          </w:p>
        </w:tc>
        <w:tc>
          <w:tcPr>
            <w:tcW w:type="dxa" w:w="3168"/>
            <w:shd w:val="clear" w:color="auto" w:fill="FFFFFF"/>
          </w:tcPr>
          <w:p>
            <w:pPr>
              <w:spacing w:before="40" w:after="40" w:line="264" w:lineRule="auto"/>
              <w:jc w:val="left"/>
            </w:pPr>
            <w:r/>
            <w:r>
              <w:rPr>
                <w:rFonts w:ascii="Calibri" w:hAnsi="Calibri" w:cs="Calibri" w:eastAsia="Calibri"/>
                <w:b w:val="0"/>
                <w:i w:val="0"/>
                <w:color w:val="000000"/>
                <w:sz w:val="17"/>
              </w:rPr>
              <w:t>TARGET ACHIEVED (&lt;15% CL)</w:t>
            </w:r>
          </w:p>
        </w:tc>
      </w:tr>
    </w:tbl>
    <w:p>
      <w:pPr>
        <w:spacing w:before="160" w:after="40"/>
        <w:jc w:val="left"/>
      </w:pPr>
      <w:r>
        <w:rPr>
          <w:rFonts w:ascii="Trebuchet MS" w:hAnsi="Trebuchet MS" w:cs="Trebuchet MS" w:eastAsia="Trebuchet MS"/>
          <w:b/>
          <w:i w:val="0"/>
          <w:color w:val="000000"/>
          <w:sz w:val="24"/>
        </w:rPr>
        <w:t>8.2 P-Chart Results &amp; Sustained Capability</w:t>
      </w:r>
    </w:p>
    <w:p>
      <w:pPr>
        <w:spacing w:before="80" w:after="40"/>
        <w:jc w:val="center"/>
      </w:pPr>
      <w:r>
        <w:drawing>
          <wp:inline xmlns:a="http://schemas.openxmlformats.org/drawingml/2006/main" xmlns:pic="http://schemas.openxmlformats.org/drawingml/2006/picture">
            <wp:extent cx="5303520" cy="2635082"/>
            <wp:docPr id="24" name="Picture 24"/>
            <wp:cNvGraphicFramePr>
              <a:graphicFrameLocks noChangeAspect="1"/>
            </wp:cNvGraphicFramePr>
            <a:graphic>
              <a:graphicData uri="http://schemas.openxmlformats.org/drawingml/2006/picture">
                <pic:pic>
                  <pic:nvPicPr>
                    <pic:cNvPr id="0" name="pchart_churn_control.png"/>
                    <pic:cNvPicPr/>
                  </pic:nvPicPr>
                  <pic:blipFill>
                    <a:blip r:embed="rId32"/>
                    <a:stretch>
                      <a:fillRect/>
                    </a:stretch>
                  </pic:blipFill>
                  <pic:spPr>
                    <a:xfrm>
                      <a:off x="0" y="0"/>
                      <a:ext cx="5303520" cy="2635082"/>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8.1:</w:t>
      </w:r>
      <w:r>
        <w:rPr>
          <w:rFonts w:ascii="Calibri" w:hAnsi="Calibri" w:cs="Calibri" w:eastAsia="Calibri"/>
          <w:b w:val="0"/>
          <w:i/>
          <w:color w:val="505050"/>
          <w:sz w:val="18"/>
        </w:rPr>
        <w:t xml:space="preserve"> P-Chart - Monthly Member Churn Rate with 3-Sigma Control Limits</w:t>
        <w:br/>
        <w:t>(Pre-Improvement Y1 Red | Post-Improvement Y2 Green | Vertical line = FMEA implementation)</w:t>
      </w:r>
    </w:p>
    <w:p>
      <w:pPr>
        <w:spacing w:before="80" w:after="40"/>
        <w:jc w:val="center"/>
      </w:pPr>
      <w:r>
        <w:drawing>
          <wp:inline xmlns:a="http://schemas.openxmlformats.org/drawingml/2006/main" xmlns:pic="http://schemas.openxmlformats.org/drawingml/2006/picture">
            <wp:extent cx="5029200" cy="1950528"/>
            <wp:docPr id="25" name="Picture 25"/>
            <wp:cNvGraphicFramePr>
              <a:graphicFrameLocks noChangeAspect="1"/>
            </wp:cNvGraphicFramePr>
            <a:graphic>
              <a:graphicData uri="http://schemas.openxmlformats.org/drawingml/2006/picture">
                <pic:pic>
                  <pic:nvPicPr>
                    <pic:cNvPr id="0" name="pchart_summary.png"/>
                    <pic:cNvPicPr/>
                  </pic:nvPicPr>
                  <pic:blipFill>
                    <a:blip r:embed="rId33"/>
                    <a:stretch>
                      <a:fillRect/>
                    </a:stretch>
                  </pic:blipFill>
                  <pic:spPr>
                    <a:xfrm>
                      <a:off x="0" y="0"/>
                      <a:ext cx="5029200" cy="1950528"/>
                    </a:xfrm>
                    <a:prstGeom prst="rect"/>
                  </pic:spPr>
                </pic:pic>
              </a:graphicData>
            </a:graphic>
          </wp:inline>
        </w:drawing>
      </w:r>
    </w:p>
    <w:p>
      <w:pPr>
        <w:spacing w:before="20" w:after="80"/>
        <w:jc w:val="center"/>
      </w:pPr>
      <w:r>
        <w:rPr>
          <w:rFonts w:ascii="Trebuchet MS" w:hAnsi="Trebuchet MS" w:cs="Trebuchet MS" w:eastAsia="Trebuchet MS"/>
          <w:b/>
          <w:i w:val="0"/>
          <w:color w:val="000000"/>
          <w:sz w:val="18"/>
        </w:rPr>
        <w:t>Figure 8.2:</w:t>
      </w:r>
      <w:r>
        <w:rPr>
          <w:rFonts w:ascii="Calibri" w:hAnsi="Calibri" w:cs="Calibri" w:eastAsia="Calibri"/>
          <w:b w:val="0"/>
          <w:i/>
          <w:color w:val="505050"/>
          <w:sz w:val="18"/>
        </w:rPr>
        <w:t xml:space="preserve"> Control Phase Summary - Average churn comparison, trend, and P-Chart statistics table</w:t>
      </w:r>
    </w:p>
    <w:p>
      <w:pPr>
        <w:spacing w:before="80" w:after="80"/>
        <w:ind w:left="216" w:right="216"/>
        <w:jc w:val="left"/>
        <w:pBdr>
          <w:left w:val="single" w:sz="20" w:space="10" w:color="000000"/>
        </w:pBdr>
        <w:shd w:val="clear" w:color="auto" w:fill="F8F9FA"/>
      </w:pPr>
      <w:r>
        <w:rPr>
          <w:rFonts w:ascii="Trebuchet MS" w:hAnsi="Trebuchet MS" w:cs="Trebuchet MS" w:eastAsia="Trebuchet MS"/>
          <w:b/>
          <w:i w:val="0"/>
          <w:color w:val="000000"/>
          <w:sz w:val="20"/>
        </w:rPr>
        <w:t xml:space="preserve">CONTROL PHASE VERIFICATION: </w:t>
      </w:r>
      <w:r>
        <w:rPr>
          <w:rFonts w:ascii="Calibri" w:hAnsi="Calibri" w:cs="Calibri" w:eastAsia="Calibri"/>
          <w:b w:val="0"/>
          <w:i/>
          <w:color w:val="000000"/>
          <w:sz w:val="20"/>
        </w:rPr>
        <w:t>The P-Chart demonstrates a statistically significant step-change improvement. Post-improvement mean churn rate reduced from 26.9% to 14.7% - a 45.2% reduction, successfully achieving the project target of &lt;15%. The process is stable with all observations within 3-sigma control limits and zero special-cause violations.</w:t>
      </w:r>
    </w:p>
    <w:p>
      <w:r>
        <w:br w:type="page"/>
      </w:r>
    </w:p>
    <w:p>
      <w:pPr>
        <w:spacing w:before="240" w:after="80"/>
        <w:jc w:val="left"/>
        <w:pBdr>
          <w:bottom w:val="single" w:sz="16" w:space="2" w:color="000000"/>
        </w:pBdr>
      </w:pPr>
      <w:r>
        <w:rPr>
          <w:rFonts w:ascii="Trebuchet MS" w:hAnsi="Trebuchet MS" w:cs="Trebuchet MS" w:eastAsia="Trebuchet MS"/>
          <w:b/>
          <w:i w:val="0"/>
          <w:color w:val="000000"/>
          <w:sz w:val="32"/>
        </w:rPr>
        <w:t>9. CONCLUSION &amp; RECOMMENDATIONS</w:t>
      </w:r>
    </w:p>
    <w:p>
      <w:pPr>
        <w:spacing w:before="0" w:after="60" w:line="276" w:lineRule="auto"/>
        <w:jc w:val="both"/>
      </w:pPr>
      <w:r>
        <w:rPr>
          <w:rFonts w:ascii="Calibri" w:hAnsi="Calibri" w:cs="Calibri" w:eastAsia="Calibri"/>
          <w:b w:val="0"/>
          <w:i w:val="0"/>
          <w:color w:val="000000"/>
          <w:sz w:val="21"/>
        </w:rPr>
        <w:t>This Lean Six Sigma DMAIC project successfully applied a data-driven approach to identify, analyse, and address member churn at the Ultimate Fitness Centre. The project demonstrates that statistical analysis combined with targeted process improvements delivers measurable, sustained business results.</w:t>
      </w:r>
    </w:p>
    <w:p>
      <w:pPr>
        <w:spacing w:before="160" w:after="40"/>
        <w:jc w:val="left"/>
      </w:pPr>
      <w:r>
        <w:rPr>
          <w:rFonts w:ascii="Trebuchet MS" w:hAnsi="Trebuchet MS" w:cs="Trebuchet MS" w:eastAsia="Trebuchet MS"/>
          <w:b/>
          <w:i w:val="0"/>
          <w:color w:val="000000"/>
          <w:sz w:val="24"/>
        </w:rPr>
        <w:t>Key Conclusions</w:t>
      </w:r>
    </w:p>
    <w:p>
      <w:pPr>
        <w:pStyle w:val="ListBullet"/>
        <w:spacing w:before="0" w:after="40" w:line="276" w:lineRule="auto"/>
        <w:jc w:val="left"/>
      </w:pPr>
      <w:r>
        <w:rPr>
          <w:rFonts w:ascii="Calibri" w:hAnsi="Calibri" w:cs="Calibri" w:eastAsia="Calibri"/>
          <w:b w:val="0"/>
          <w:i w:val="0"/>
          <w:color w:val="000000"/>
          <w:sz w:val="20"/>
        </w:rPr>
        <w:t>1. Baseline monthly churn rate of ~27% placed the process at ~2.1 Sigma, below the 3 Sigma industry benchmark.</w:t>
      </w:r>
    </w:p>
    <w:p>
      <w:pPr>
        <w:pStyle w:val="ListBullet"/>
        <w:spacing w:before="0" w:after="40" w:line="276" w:lineRule="auto"/>
        <w:jc w:val="left"/>
      </w:pPr>
      <w:r>
        <w:rPr>
          <w:rFonts w:ascii="Calibri" w:hAnsi="Calibri" w:cs="Calibri" w:eastAsia="Calibri"/>
          <w:b w:val="0"/>
          <w:i w:val="0"/>
          <w:color w:val="000000"/>
          <w:sz w:val="20"/>
        </w:rPr>
        <w:t>2. Membership Plan Type is the strongest churn predictor. Monthly: 77% churn vs Quarterly: 21% vs Annual: 8% (Chi2 p&lt;0.001).</w:t>
      </w:r>
    </w:p>
    <w:p>
      <w:pPr>
        <w:pStyle w:val="ListBullet"/>
        <w:spacing w:before="0" w:after="40" w:line="276" w:lineRule="auto"/>
        <w:jc w:val="left"/>
      </w:pPr>
      <w:r>
        <w:rPr>
          <w:rFonts w:ascii="Calibri" w:hAnsi="Calibri" w:cs="Calibri" w:eastAsia="Calibri"/>
          <w:b w:val="0"/>
          <w:i w:val="0"/>
          <w:color w:val="000000"/>
          <w:sz w:val="20"/>
        </w:rPr>
        <w:t>3. T-Tests confirmed churned members had significantly shorter tenure, lower plan amounts, and higher payment delays (all p&lt;0.001).</w:t>
      </w:r>
    </w:p>
    <w:p>
      <w:pPr>
        <w:pStyle w:val="ListBullet"/>
        <w:spacing w:before="0" w:after="40" w:line="276" w:lineRule="auto"/>
        <w:jc w:val="left"/>
      </w:pPr>
      <w:r>
        <w:rPr>
          <w:rFonts w:ascii="Calibri" w:hAnsi="Calibri" w:cs="Calibri" w:eastAsia="Calibri"/>
          <w:b w:val="0"/>
          <w:i w:val="0"/>
          <w:color w:val="000000"/>
          <w:sz w:val="20"/>
        </w:rPr>
        <w:t>4. ANOVA showed Annual plan members rate Equipment Satisfaction (F=4.34, p=0.019) and Overall Satisfaction (F=4.89, p=0.012) significantly higher.</w:t>
      </w:r>
    </w:p>
    <w:p>
      <w:pPr>
        <w:pStyle w:val="ListBullet"/>
        <w:spacing w:before="0" w:after="40" w:line="276" w:lineRule="auto"/>
        <w:jc w:val="left"/>
      </w:pPr>
      <w:r>
        <w:rPr>
          <w:rFonts w:ascii="Calibri" w:hAnsi="Calibri" w:cs="Calibri" w:eastAsia="Calibri"/>
          <w:b w:val="0"/>
          <w:i w:val="0"/>
          <w:color w:val="000000"/>
          <w:sz w:val="20"/>
        </w:rPr>
        <w:t>5. Member Experience Survey (n=50) yielded NPS of +44. 80% were Likely Renewers. Overcrowding was the #2 churn reason.</w:t>
      </w:r>
    </w:p>
    <w:p>
      <w:pPr>
        <w:pStyle w:val="ListBullet"/>
        <w:spacing w:before="0" w:after="40" w:line="276" w:lineRule="auto"/>
        <w:jc w:val="left"/>
      </w:pPr>
      <w:r>
        <w:rPr>
          <w:rFonts w:ascii="Calibri" w:hAnsi="Calibri" w:cs="Calibri" w:eastAsia="Calibri"/>
          <w:b w:val="0"/>
          <w:i w:val="0"/>
          <w:color w:val="000000"/>
          <w:sz w:val="20"/>
        </w:rPr>
        <w:t>6. Levene F-Tests confirmed equal variances for all satisfaction variables (all p&gt;0.05), validating parametric test assumptions.</w:t>
      </w:r>
    </w:p>
    <w:p>
      <w:pPr>
        <w:pStyle w:val="ListBullet"/>
        <w:spacing w:before="0" w:after="40" w:line="276" w:lineRule="auto"/>
        <w:jc w:val="left"/>
      </w:pPr>
      <w:r>
        <w:rPr>
          <w:rFonts w:ascii="Calibri" w:hAnsi="Calibri" w:cs="Calibri" w:eastAsia="Calibri"/>
          <w:b w:val="0"/>
          <w:i w:val="0"/>
          <w:color w:val="000000"/>
          <w:sz w:val="20"/>
        </w:rPr>
        <w:t>7. FMEA identified 7 CRITICAL failure modes (RPN&gt;=200). No renewal reminder system (RPN=378) ranked highest.</w:t>
      </w:r>
    </w:p>
    <w:p>
      <w:pPr>
        <w:pStyle w:val="ListBullet"/>
        <w:spacing w:before="0" w:after="40" w:line="276" w:lineRule="auto"/>
        <w:jc w:val="left"/>
      </w:pPr>
      <w:r>
        <w:rPr>
          <w:rFonts w:ascii="Calibri" w:hAnsi="Calibri" w:cs="Calibri" w:eastAsia="Calibri"/>
          <w:b w:val="0"/>
          <w:i w:val="0"/>
          <w:color w:val="000000"/>
          <w:sz w:val="20"/>
        </w:rPr>
        <w:t>8. Post-improvement P-Chart: 45.2% churn reduction (26.9% to 14.7%), exceeding the project target of &lt;15%.</w:t>
      </w:r>
    </w:p>
    <w:p>
      <w:pPr>
        <w:pStyle w:val="ListBullet"/>
        <w:spacing w:before="0" w:after="40" w:line="276" w:lineRule="auto"/>
        <w:jc w:val="left"/>
      </w:pPr>
      <w:r>
        <w:rPr>
          <w:rFonts w:ascii="Calibri" w:hAnsi="Calibri" w:cs="Calibri" w:eastAsia="Calibri"/>
          <w:b w:val="0"/>
          <w:i w:val="0"/>
          <w:color w:val="000000"/>
          <w:sz w:val="20"/>
        </w:rPr>
        <w:t>9. The improved process is statistically stable with all monthly observations within 3-sigma control limits.</w:t>
      </w:r>
    </w:p>
    <w:p>
      <w:pPr>
        <w:spacing w:before="160" w:after="40"/>
        <w:jc w:val="left"/>
      </w:pPr>
      <w:r>
        <w:rPr>
          <w:rFonts w:ascii="Trebuchet MS" w:hAnsi="Trebuchet MS" w:cs="Trebuchet MS" w:eastAsia="Trebuchet MS"/>
          <w:b/>
          <w:i w:val="0"/>
          <w:color w:val="000000"/>
          <w:sz w:val="24"/>
        </w:rPr>
        <w:t>Recommendations for Sustained Improvement</w:t>
      </w:r>
    </w:p>
    <w:p>
      <w:pPr>
        <w:pStyle w:val="ListBullet"/>
        <w:spacing w:before="0" w:after="40" w:line="276" w:lineRule="auto"/>
        <w:jc w:val="left"/>
      </w:pPr>
      <w:r>
        <w:rPr>
          <w:rFonts w:ascii="Calibri" w:hAnsi="Calibri" w:cs="Calibri" w:eastAsia="Calibri"/>
          <w:b w:val="0"/>
          <w:i w:val="0"/>
          <w:color w:val="000000"/>
          <w:sz w:val="20"/>
        </w:rPr>
        <w:t>Continue monthly P-Chart monitoring; recalculate control limits every 6 months as the process stabilises.</w:t>
      </w:r>
    </w:p>
    <w:p>
      <w:pPr>
        <w:pStyle w:val="ListBullet"/>
        <w:spacing w:before="0" w:after="40" w:line="276" w:lineRule="auto"/>
        <w:jc w:val="left"/>
      </w:pPr>
      <w:r>
        <w:rPr>
          <w:rFonts w:ascii="Calibri" w:hAnsi="Calibri" w:cs="Calibri" w:eastAsia="Calibri"/>
          <w:b w:val="0"/>
          <w:i w:val="0"/>
          <w:color w:val="000000"/>
          <w:sz w:val="20"/>
        </w:rPr>
        <w:t>Expand Member Experience Survey to quarterly cadence (minimum 100 responses) for more robust inference.</w:t>
      </w:r>
    </w:p>
    <w:p>
      <w:pPr>
        <w:pStyle w:val="ListBullet"/>
        <w:spacing w:before="0" w:after="40" w:line="276" w:lineRule="auto"/>
        <w:jc w:val="left"/>
      </w:pPr>
      <w:r>
        <w:rPr>
          <w:rFonts w:ascii="Calibri" w:hAnsi="Calibri" w:cs="Calibri" w:eastAsia="Calibri"/>
          <w:b w:val="0"/>
          <w:i w:val="0"/>
          <w:color w:val="000000"/>
          <w:sz w:val="20"/>
        </w:rPr>
        <w:t>Implement CRM-driven loyalty programme to incentivise plan upgrades from monthly to quarterly/annual.</w:t>
      </w:r>
    </w:p>
    <w:p>
      <w:pPr>
        <w:pStyle w:val="ListBullet"/>
        <w:spacing w:before="0" w:after="40" w:line="276" w:lineRule="auto"/>
        <w:jc w:val="left"/>
      </w:pPr>
      <w:r>
        <w:rPr>
          <w:rFonts w:ascii="Calibri" w:hAnsi="Calibri" w:cs="Calibri" w:eastAsia="Calibri"/>
          <w:b w:val="0"/>
          <w:i w:val="0"/>
          <w:color w:val="000000"/>
          <w:sz w:val="20"/>
        </w:rPr>
        <w:t>Introduce member freeze/pause policy to prevent voluntary cancellations during travel or illness.</w:t>
      </w:r>
    </w:p>
    <w:p>
      <w:pPr>
        <w:pStyle w:val="ListBullet"/>
        <w:spacing w:before="0" w:after="40" w:line="276" w:lineRule="auto"/>
        <w:jc w:val="left"/>
      </w:pPr>
      <w:r>
        <w:rPr>
          <w:rFonts w:ascii="Calibri" w:hAnsi="Calibri" w:cs="Calibri" w:eastAsia="Calibri"/>
          <w:b w:val="0"/>
          <w:i w:val="0"/>
          <w:color w:val="000000"/>
          <w:sz w:val="20"/>
        </w:rPr>
        <w:t>Deploy live crowd-monitoring system to address the #2 surveyed churn driver: machine wait times.</w:t>
      </w:r>
    </w:p>
    <w:p>
      <w:pPr>
        <w:pStyle w:val="ListBullet"/>
        <w:spacing w:before="0" w:after="40" w:line="276" w:lineRule="auto"/>
        <w:jc w:val="left"/>
      </w:pPr>
      <w:r>
        <w:rPr>
          <w:rFonts w:ascii="Calibri" w:hAnsi="Calibri" w:cs="Calibri" w:eastAsia="Calibri"/>
          <w:b w:val="0"/>
          <w:i w:val="0"/>
          <w:color w:val="000000"/>
          <w:sz w:val="20"/>
        </w:rPr>
        <w:t>Conduct annual FMEA review to identify new failure modes as the business evolves.</w:t>
      </w:r>
    </w:p>
    <w:p>
      <w:pPr>
        <w:pStyle w:val="ListBullet"/>
        <w:spacing w:before="0" w:after="40" w:line="276" w:lineRule="auto"/>
        <w:jc w:val="left"/>
      </w:pPr>
      <w:r>
        <w:rPr>
          <w:rFonts w:ascii="Calibri" w:hAnsi="Calibri" w:cs="Calibri" w:eastAsia="Calibri"/>
          <w:b w:val="0"/>
          <w:i w:val="0"/>
          <w:color w:val="000000"/>
          <w:sz w:val="20"/>
        </w:rPr>
        <w:t>Track NPS quarterly as a leading indicator of future churn; target NPS &gt;= 60 within 12 months.</w:t>
      </w:r>
    </w:p>
    <w:p>
      <w:pPr>
        <w:spacing w:before="240" w:after="80"/>
        <w:jc w:val="left"/>
        <w:pBdr>
          <w:bottom w:val="single" w:sz="16" w:space="2" w:color="000000"/>
        </w:pBdr>
      </w:pPr>
      <w:r>
        <w:rPr>
          <w:rFonts w:ascii="Trebuchet MS" w:hAnsi="Trebuchet MS" w:cs="Trebuchet MS" w:eastAsia="Trebuchet MS"/>
          <w:b/>
          <w:i w:val="0"/>
          <w:color w:val="000000"/>
          <w:sz w:val="32"/>
        </w:rPr>
        <w:t>10. REFERENCES</w:t>
      </w:r>
    </w:p>
    <w:p>
      <w:pPr>
        <w:spacing w:before="20" w:after="40"/>
        <w:jc w:val="both"/>
      </w:pPr>
      <w:r>
        <w:rPr>
          <w:rFonts w:ascii="Trebuchet MS" w:hAnsi="Trebuchet MS" w:cs="Trebuchet MS" w:eastAsia="Trebuchet MS"/>
          <w:b/>
          <w:i w:val="0"/>
          <w:color w:val="000000"/>
          <w:sz w:val="19"/>
        </w:rPr>
        <w:t xml:space="preserve">[1]  </w:t>
      </w:r>
      <w:r>
        <w:rPr>
          <w:rFonts w:ascii="Calibri" w:hAnsi="Calibri" w:cs="Calibri" w:eastAsia="Calibri"/>
          <w:b w:val="0"/>
          <w:i w:val="0"/>
          <w:color w:val="000000"/>
          <w:sz w:val="19"/>
        </w:rPr>
        <w:t>Montgomery, D.C. (2020). Introduction to Statistical Quality Control, 8th Edition. John Wiley &amp; Sons.</w:t>
      </w:r>
    </w:p>
    <w:p>
      <w:pPr>
        <w:spacing w:before="20" w:after="40"/>
        <w:jc w:val="both"/>
      </w:pPr>
      <w:r>
        <w:rPr>
          <w:rFonts w:ascii="Trebuchet MS" w:hAnsi="Trebuchet MS" w:cs="Trebuchet MS" w:eastAsia="Trebuchet MS"/>
          <w:b/>
          <w:i w:val="0"/>
          <w:color w:val="000000"/>
          <w:sz w:val="19"/>
        </w:rPr>
        <w:t xml:space="preserve">[2]  </w:t>
      </w:r>
      <w:r>
        <w:rPr>
          <w:rFonts w:ascii="Calibri" w:hAnsi="Calibri" w:cs="Calibri" w:eastAsia="Calibri"/>
          <w:b w:val="0"/>
          <w:i w:val="0"/>
          <w:color w:val="000000"/>
          <w:sz w:val="19"/>
        </w:rPr>
        <w:t>George, M.L. (2002). Lean Six Sigma: Combining Six Sigma Quality with Lean Speed. McGraw-Hill.</w:t>
      </w:r>
    </w:p>
    <w:p>
      <w:pPr>
        <w:spacing w:before="20" w:after="40"/>
        <w:jc w:val="both"/>
      </w:pPr>
      <w:r>
        <w:rPr>
          <w:rFonts w:ascii="Trebuchet MS" w:hAnsi="Trebuchet MS" w:cs="Trebuchet MS" w:eastAsia="Trebuchet MS"/>
          <w:b/>
          <w:i w:val="0"/>
          <w:color w:val="000000"/>
          <w:sz w:val="19"/>
        </w:rPr>
        <w:t xml:space="preserve">[3]  </w:t>
      </w:r>
      <w:r>
        <w:rPr>
          <w:rFonts w:ascii="Calibri" w:hAnsi="Calibri" w:cs="Calibri" w:eastAsia="Calibri"/>
          <w:b w:val="0"/>
          <w:i w:val="0"/>
          <w:color w:val="000000"/>
          <w:sz w:val="19"/>
        </w:rPr>
        <w:t>Pyzdek, T. &amp; Keller, P. (2014). The Six Sigma Handbook, 4th Edition. McGraw-Hill Education.</w:t>
      </w:r>
    </w:p>
    <w:p>
      <w:pPr>
        <w:spacing w:before="20" w:after="40"/>
        <w:jc w:val="both"/>
      </w:pPr>
      <w:r>
        <w:rPr>
          <w:rFonts w:ascii="Trebuchet MS" w:hAnsi="Trebuchet MS" w:cs="Trebuchet MS" w:eastAsia="Trebuchet MS"/>
          <w:b/>
          <w:i w:val="0"/>
          <w:color w:val="000000"/>
          <w:sz w:val="19"/>
        </w:rPr>
        <w:t xml:space="preserve">[4]  </w:t>
      </w:r>
      <w:r>
        <w:rPr>
          <w:rFonts w:ascii="Calibri" w:hAnsi="Calibri" w:cs="Calibri" w:eastAsia="Calibri"/>
          <w:b w:val="0"/>
          <w:i w:val="0"/>
          <w:color w:val="000000"/>
          <w:sz w:val="19"/>
        </w:rPr>
        <w:t>Stamatis, D.H. (2003). Failure Mode and Effect Analysis: FMEA from Theory to Execution. ASQ Quality Press.</w:t>
      </w:r>
    </w:p>
    <w:p>
      <w:pPr>
        <w:spacing w:before="20" w:after="40"/>
        <w:jc w:val="both"/>
      </w:pPr>
      <w:r>
        <w:rPr>
          <w:rFonts w:ascii="Trebuchet MS" w:hAnsi="Trebuchet MS" w:cs="Trebuchet MS" w:eastAsia="Trebuchet MS"/>
          <w:b/>
          <w:i w:val="0"/>
          <w:color w:val="000000"/>
          <w:sz w:val="19"/>
        </w:rPr>
        <w:t xml:space="preserve">[5]  </w:t>
      </w:r>
      <w:r>
        <w:rPr>
          <w:rFonts w:ascii="Calibri" w:hAnsi="Calibri" w:cs="Calibri" w:eastAsia="Calibri"/>
          <w:b w:val="0"/>
          <w:i w:val="0"/>
          <w:color w:val="000000"/>
          <w:sz w:val="19"/>
        </w:rPr>
        <w:t>Breyfogle, F.W. (2003). Implementing Six Sigma: Smarter Solutions Using Statistical Methods. Wiley.</w:t>
      </w:r>
    </w:p>
    <w:p>
      <w:pPr>
        <w:spacing w:before="20" w:after="40"/>
        <w:jc w:val="both"/>
      </w:pPr>
      <w:r>
        <w:rPr>
          <w:rFonts w:ascii="Trebuchet MS" w:hAnsi="Trebuchet MS" w:cs="Trebuchet MS" w:eastAsia="Trebuchet MS"/>
          <w:b/>
          <w:i w:val="0"/>
          <w:color w:val="000000"/>
          <w:sz w:val="19"/>
        </w:rPr>
        <w:t xml:space="preserve">[6]  </w:t>
      </w:r>
      <w:r>
        <w:rPr>
          <w:rFonts w:ascii="Calibri" w:hAnsi="Calibri" w:cs="Calibri" w:eastAsia="Calibri"/>
          <w:b w:val="0"/>
          <w:i w:val="0"/>
          <w:color w:val="000000"/>
          <w:sz w:val="19"/>
        </w:rPr>
        <w:t>Pande, P.S., Neuman, R.P. &amp; Cavanagh, R.R. (2000). The Six Sigma Way. McGraw-Hill.</w:t>
      </w:r>
    </w:p>
    <w:p>
      <w:pPr>
        <w:spacing w:before="20" w:after="40"/>
        <w:jc w:val="both"/>
      </w:pPr>
      <w:r>
        <w:rPr>
          <w:rFonts w:ascii="Trebuchet MS" w:hAnsi="Trebuchet MS" w:cs="Trebuchet MS" w:eastAsia="Trebuchet MS"/>
          <w:b/>
          <w:i w:val="0"/>
          <w:color w:val="000000"/>
          <w:sz w:val="19"/>
        </w:rPr>
        <w:t xml:space="preserve">[7]  </w:t>
      </w:r>
      <w:r>
        <w:rPr>
          <w:rFonts w:ascii="Calibri" w:hAnsi="Calibri" w:cs="Calibri" w:eastAsia="Calibri"/>
          <w:b w:val="0"/>
          <w:i w:val="0"/>
          <w:color w:val="000000"/>
          <w:sz w:val="19"/>
        </w:rPr>
        <w:t>IHRSA. (2023). Global Report on the Health Club Industry.</w:t>
      </w:r>
    </w:p>
    <w:p>
      <w:pPr>
        <w:spacing w:before="20" w:after="40"/>
        <w:jc w:val="both"/>
      </w:pPr>
      <w:r>
        <w:rPr>
          <w:rFonts w:ascii="Trebuchet MS" w:hAnsi="Trebuchet MS" w:cs="Trebuchet MS" w:eastAsia="Trebuchet MS"/>
          <w:b/>
          <w:i w:val="0"/>
          <w:color w:val="000000"/>
          <w:sz w:val="19"/>
        </w:rPr>
        <w:t xml:space="preserve">[8]  </w:t>
      </w:r>
      <w:r>
        <w:rPr>
          <w:rFonts w:ascii="Calibri" w:hAnsi="Calibri" w:cs="Calibri" w:eastAsia="Calibri"/>
          <w:b w:val="0"/>
          <w:i w:val="0"/>
          <w:color w:val="000000"/>
          <w:sz w:val="19"/>
        </w:rPr>
        <w:t>Anderson, E.W. et al. (2004). Customer Satisfaction and Shareholder Value. Journal of Marketing, 68(4), 172-185.</w:t>
      </w:r>
    </w:p>
    <w:p>
      <w:pPr>
        <w:spacing w:before="20" w:after="40"/>
        <w:jc w:val="both"/>
      </w:pPr>
      <w:r>
        <w:rPr>
          <w:rFonts w:ascii="Trebuchet MS" w:hAnsi="Trebuchet MS" w:cs="Trebuchet MS" w:eastAsia="Trebuchet MS"/>
          <w:b/>
          <w:i w:val="0"/>
          <w:color w:val="000000"/>
          <w:sz w:val="19"/>
        </w:rPr>
        <w:t xml:space="preserve">[9]  </w:t>
      </w:r>
      <w:r>
        <w:rPr>
          <w:rFonts w:ascii="Calibri" w:hAnsi="Calibri" w:cs="Calibri" w:eastAsia="Calibri"/>
          <w:b w:val="0"/>
          <w:i w:val="0"/>
          <w:color w:val="000000"/>
          <w:sz w:val="19"/>
        </w:rPr>
        <w:t>Hair, J.F. et al. (2019). Multivariate Data Analysis, 8th Edition. Cengage Learning.</w:t>
      </w:r>
    </w:p>
    <w:p>
      <w:pPr>
        <w:spacing w:before="20" w:after="40"/>
        <w:jc w:val="both"/>
      </w:pPr>
      <w:r>
        <w:rPr>
          <w:rFonts w:ascii="Trebuchet MS" w:hAnsi="Trebuchet MS" w:cs="Trebuchet MS" w:eastAsia="Trebuchet MS"/>
          <w:b/>
          <w:i w:val="0"/>
          <w:color w:val="000000"/>
          <w:sz w:val="19"/>
        </w:rPr>
        <w:t xml:space="preserve">[10]  </w:t>
      </w:r>
      <w:r>
        <w:rPr>
          <w:rFonts w:ascii="Calibri" w:hAnsi="Calibri" w:cs="Calibri" w:eastAsia="Calibri"/>
          <w:b w:val="0"/>
          <w:i w:val="0"/>
          <w:color w:val="000000"/>
          <w:sz w:val="19"/>
        </w:rPr>
        <w:t>Reichheld, F.F. (2003). The One Number You Need to Grow (NPS). Harvard Business Review, 81(12), 46-54.</w:t>
      </w:r>
    </w:p>
    <w:p>
      <w:pPr>
        <w:spacing w:before="20" w:after="40"/>
        <w:jc w:val="both"/>
      </w:pPr>
      <w:r>
        <w:rPr>
          <w:rFonts w:ascii="Trebuchet MS" w:hAnsi="Trebuchet MS" w:cs="Trebuchet MS" w:eastAsia="Trebuchet MS"/>
          <w:b/>
          <w:i w:val="0"/>
          <w:color w:val="000000"/>
          <w:sz w:val="19"/>
        </w:rPr>
        <w:t xml:space="preserve">[11]  </w:t>
      </w:r>
      <w:r>
        <w:rPr>
          <w:rFonts w:ascii="Calibri" w:hAnsi="Calibri" w:cs="Calibri" w:eastAsia="Calibri"/>
          <w:b w:val="0"/>
          <w:i w:val="0"/>
          <w:color w:val="000000"/>
          <w:sz w:val="19"/>
        </w:rPr>
        <w:t>SciPy Community. (2023). SciPy Statistical Functions Reference. https://docs.scipy.org</w:t>
      </w:r>
    </w:p>
    <w:sectPr w:rsidR="00FC693F" w:rsidRPr="0006063C" w:rsidSect="00034616">
      <w:pgSz w:w="11906" w:h="16838"/>
      <w:pgMar w:top="1247" w:right="1247" w:bottom="1247" w:left="1247" w:header="720" w:footer="720" w:gutter="0"/>
      <w:cols w:space="720"/>
      <w:docGrid w:linePitch="360"/>
      <w:pgBorders w:offsetFrom="page">
        <w:top w:val="single" w:sz="8" w:space="18" w:color="000000"/>
        <w:left w:val="single" w:sz="8" w:space="18" w:color="000000"/>
        <w:bottom w:val="single" w:sz="8" w:space="18" w:color="000000"/>
        <w:right w:val="single" w:sz="8" w:space="18"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