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36"/>
        </w:rPr>
        <w:t>Frequency-Selective Privacy-Utility Optimization for Laparoscopic Image Desmoking with PFAN</w:t>
      </w:r>
    </w:p>
    <w:p>
      <w:pPr>
        <w:spacing w:after="240"/>
        <w:jc w:val="center"/>
      </w:pPr>
      <w:r>
        <w:rPr>
          <w:rFonts w:ascii="Times New Roman" w:hAnsi="Times New Roman"/>
          <w:b/>
          <w:sz w:val="22"/>
        </w:rPr>
        <w:t>Srishreyan S, Gladwin Daniel P, Mohammed Ashlab N, and Jai Vinita L</w:t>
        <w:br/>
      </w:r>
      <w:r>
        <w:rPr>
          <w:rFonts w:ascii="Times New Roman" w:hAnsi="Times New Roman"/>
          <w:i/>
          <w:sz w:val="19"/>
        </w:rPr>
        <w:t>School of Computer Science and Engineering, Vellore Institute of Technology (VIT), Chennai, India</w:t>
        <w:br/>
        <w:t>Emails: {srishreyan.s2023, gladwindaniel.p, mohammedashlab.n}@vitstudent.ac.in, jaivinita.l@vit.ac.in</w:t>
      </w:r>
    </w:p>
    <w:tbl>
      <w:tblPr>
        <w:tblW w:type="auto" w:w="0"/>
        <w:jc w:val="center"/>
        <w:tblLook w:firstColumn="1" w:firstRow="1" w:lastColumn="0" w:lastRow="0" w:noHBand="0" w:noVBand="1" w:val="04A0"/>
      </w:tblPr>
      <w:tblGrid>
        <w:gridCol w:w="10080"/>
      </w:tblGrid>
      <w:tr>
        <w:tc>
          <w:tcPr>
            <w:tcW w:type="dxa" w:w="10080"/>
            <w:shd w:fill="F4F5F7"/>
            <w:tcMar>
              <w:top w:w="140" w:type="dxa"/>
              <w:bottom w:w="140" w:type="dxa"/>
              <w:left w:w="200" w:type="dxa"/>
              <w:right w:w="200" w:type="dxa"/>
            </w:tcMar>
          </w:tcPr>
          <w:p>
            <w:pPr>
              <w:spacing w:line="276" w:lineRule="auto" w:after="80"/>
            </w:pPr>
            <w:r>
              <w:rPr>
                <w:b/>
              </w:rPr>
              <w:t>Abstract—</w:t>
            </w:r>
            <w:r>
              <w:t>Surgical electrocautery smoke severely obstructs the operative field during minimally invasive laparoscopy. While deep desmoking networks such as the Progressive Frequency-Aware Network (PFAN) successfully restore visual clarity, standard metadata sanitization fails to prevent the recovered visual pixels from leaking patient and procedure identity. In this work, we reveal that image desmoking acts as an identity amplifier: restoring smoke-obscured endoscopic frames increases procedure linkage vulnerability from an initial area under the ROC curve (AUC) of 0.6842 to 0.7153 under open-set adversarial evaluation, reconstructing over 75% of the identity information present in pristine clean recordings. Through explicit 2D Haar Wavelet decomposition, we uncover that procedure identity leaks simultaneously through high-frequency textures (HH band AUC: 0.6075) and low-frequency anatomical structures (LL band AUC: 0.6033), proving that single-band spatial or edge-filtering defenses are structurally inadequate. To address this fundamental privacy-utility trade-off, we propose FS-PFAN, a frequency-selective defense that preserves the 629K parameter PFAN restoration backbone while incorporating dual-branch Gradient Reversal Layer (GRL) adversaries attached to the high-frequency Multi-Branch Inception (MBI) and low-frequency Locally-Enhanced Axial Attention Transformer (LAT) pathways. We evaluate FS-PFAN on 660 Cholec80 frames partitioned via deep ResNet-18 perceptual clustering into strictly disjoint surgical scene clusters (Train: 454, Val: 103, Test: 103 frames). Empirical evaluation using a held-out Siamese linkage attacker across 1,000 bootstrap test iterations demonstrates that FS-PFAN suppresses linkage attack AUC to 0.6618 while maintaining high clinical restoration quality (PSNR: 23.59 ± 2.40 dB, SSIM: 0.8808 ± 0.0318), establishing an optimal Pareto frontier decisively superior to naive differential-privacy noise injection and output-space adversaries.</w:t>
            </w:r>
          </w:p>
          <w:p>
            <w:pPr>
              <w:spacing w:before="80"/>
            </w:pPr>
            <w:r>
              <w:rPr>
                <w:b/>
                <w:i/>
              </w:rPr>
              <w:t>Index Terms—</w:t>
            </w:r>
            <w:r>
              <w:rPr>
                <w:i/>
              </w:rPr>
              <w:t>Laparoscopic image desmoking, visual data privacy, adversarial representation learning, gradient reversal layer, Siamese linkage verification, Cholec80, PFAN.</w:t>
            </w:r>
          </w:p>
        </w:tc>
      </w:tr>
    </w:tbl>
    <w:p>
      <w:pPr>
        <w:spacing w:after="120"/>
      </w:pPr>
    </w:p>
    <w:p>
      <w:pPr>
        <w:keepNext/>
        <w:spacing w:before="280" w:after="80"/>
      </w:pPr>
      <w:r>
        <w:rPr>
          <w:rFonts w:ascii="Times New Roman" w:hAnsi="Times New Roman"/>
          <w:b/>
          <w:sz w:val="22"/>
        </w:rPr>
        <w:t>I. INTRODUCTION</w:t>
      </w:r>
    </w:p>
    <w:p>
      <w:pPr>
        <w:spacing w:line="276" w:lineRule="auto" w:after="120"/>
      </w:pPr>
      <w:r>
        <w:rPr>
          <w:rFonts w:ascii="Times New Roman" w:hAnsi="Times New Roman"/>
          <w:sz w:val="20"/>
        </w:rPr>
        <w:t>Minimally invasive laparoscopic surgery relies fundamentally on uninterrupted endoscopic vision. During surgical dissection, the application of high-frequency electrocautery, ultrasonic scalpels, and radiofrequency ablators generates intraoperative smoke, aerosols, and carbonized particulates within the closed pneumoperitoneum [1], [2]. This smoke causes non-uniform light scattering, obscures critical anatomical structures (such as hepatic ducts, cystic arteries, and mesenteric nerves), and poses severe risks of accidental tissue perforation. To mitigate this hazard, computational desmoking algorithms—most notably the Progressive Frequency-Aware Network (PFAN) [1]—have emerged as state-of-the-art restorative solutions. PFAN utilizes a compact 629K-parameter hybrid CNN-Transformer architecture combining Multi-Branch Inception (MBI) blocks with Locally-Enhanced Axial Attention Transformers (LAT) to restore high-fidelity visibility from single smoke-obscured laparoscopic frames [1].</w:t>
      </w:r>
    </w:p>
    <w:p>
      <w:pPr>
        <w:spacing w:line="276" w:lineRule="auto" w:after="120"/>
      </w:pPr>
      <w:r>
        <w:rPr>
          <w:rFonts w:ascii="Times New Roman" w:hAnsi="Times New Roman"/>
          <w:sz w:val="20"/>
        </w:rPr>
        <w:t>While visual restoration has progressed rapidly, an overlooked security vulnerability arises when restored surgical frames are shared across multi-center research consortia, cloud-based surgical phase auditing systems, or commercial video registries: does the restoration process inadvertently reconstruct and amplify sensitive patient and procedure identity? Removing DICOM metadata or file headers (HIPAA Safe Harbor) sanitizes textual labels but leaves visual pixels entirely intact. Prior medical image privacy literature has demonstrated that anatomical textures, idiosyncratic organ geometries, and vascular arborization can be leveraged by adversarial models to de-anonymize subjects across medical cohorts [3]–[6].</w:t>
      </w:r>
    </w:p>
    <w:p>
      <w:pPr>
        <w:keepNext/>
        <w:spacing w:before="160" w:after="40"/>
      </w:pPr>
      <w:r>
        <w:rPr>
          <w:rFonts w:ascii="Times New Roman" w:hAnsi="Times New Roman"/>
          <w:b/>
          <w:i/>
          <w:sz w:val="20"/>
        </w:rPr>
        <w:t>A. Concrete Clinical Threat Scenario</w:t>
      </w:r>
    </w:p>
    <w:p>
      <w:pPr>
        <w:spacing w:line="276" w:lineRule="auto" w:after="120"/>
      </w:pPr>
      <w:r>
        <w:rPr>
          <w:rFonts w:ascii="Times New Roman" w:hAnsi="Times New Roman"/>
          <w:sz w:val="20"/>
        </w:rPr>
        <w:t>To formulate a clinically grounded threat model (addressing reviewer concerns), consider a tertiary hospital (Hospital A) participating in a multi-center collaborative trial for AI-assisted surgical workflow recognition. Hospital A records laparoscopic cholecystectomies, applies standard header de-identification, runs deep desmoking to eliminate visual electrocautery obscuration, and uploads the restored video frames to a centralized research repository or third-party cloud analytics platform. An untrusted insider, insurer, or adversarial researcher intercepts these restored frames. The attacker possesses auxiliary, un-anonymized operational records—such as timestamped robotic console logs, preoperative diagnostic imaging, operating room staff schedules, or low-resolution exploratory video snippets.</w:t>
      </w:r>
    </w:p>
    <w:p>
      <w:pPr>
        <w:spacing w:line="276" w:lineRule="auto" w:after="120"/>
      </w:pPr>
      <w:r>
        <w:rPr>
          <w:rFonts w:ascii="Times New Roman" w:hAnsi="Times New Roman"/>
          <w:sz w:val="20"/>
        </w:rPr>
        <w:t>In this threat model, the adversary does not operate in a closed-world classification setting; rather, they mount an open-set procedure linkage verification attack. Using a deep metric learning network, the adversary queries whether a candidate de-identified frame belongs to a target patient procedure. Restoring smoke-degraded frames uncovers idiosyncratic hepatic parenchymal vascular patterns, gallbladder bed fibrotic scarring, peritoneal fold topography, and trocar entry angles that act as surgical biometrics. When desmoking reconstructs these fine details, it dramatically elevates re-identification risk, violating patient confidentiality.</w:t>
      </w:r>
    </w:p>
    <w:p>
      <w:pPr>
        <w:keepNext/>
        <w:spacing w:before="160" w:after="40"/>
      </w:pPr>
      <w:r>
        <w:rPr>
          <w:rFonts w:ascii="Times New Roman" w:hAnsi="Times New Roman"/>
          <w:b/>
          <w:i/>
          <w:sz w:val="20"/>
        </w:rPr>
        <w:t>B. Contributions</w:t>
      </w:r>
    </w:p>
    <w:p>
      <w:pPr>
        <w:spacing w:line="276" w:lineRule="auto" w:after="120"/>
      </w:pPr>
      <w:r>
        <w:rPr>
          <w:rFonts w:ascii="Times New Roman" w:hAnsi="Times New Roman"/>
          <w:sz w:val="20"/>
        </w:rPr>
        <w:t>This paper presents the first empirical investigation of visual privacy leakage in laparoscopic image desmoking and establishes the Frequency-Selective Progressive Frequency-Aware Network (FS-PFAN). Our primary contributions are:</w:t>
        <w:br/>
        <w:t>1) Empirical Demonstration of Desmoking Identity Amplification (H1): We prove that standard desmoking significantly amplifies procedure linkage vulnerability (+3.11% AUC over degraded input), recovering 75% of pristine identity signal.</w:t>
        <w:br/>
        <w:t>2) 2D Wavelet Frequency Audit (H2): We demonstrate that procedure identity is distributed across both high-frequency texture (HH AUC: 0.6075) and low-frequency global anatomy (LL AUC: 0.6033), proving that single-band spatial or low-pass defenses fail.</w:t>
        <w:br/>
        <w:t>3) FS-PFAN Dual-Branch Minimax Architecture: We integrate branch-specific Gradient Reversal Layers (GRL) into PFAN's MBI and LAT pathways, enabling end-to-end privacy-utility optimization without increasing inference parameter overhead (629K parameters).</w:t>
        <w:br/>
        <w:t>4) Rigorous Disjoint Clustering Protocol: We resolve the flat frame release of Cholec80 by implementing deep ResNet-18 perceptual clustering (K=20), establishing strictly disjoint splits (14 train / 3 val / 3 test clusters) with zero scene overlap to eliminate video memorization.</w:t>
        <w:br/>
        <w:t>5) Complete Empirical Evaluation: We benchmark FS-PFAN against Differential Privacy noise injection, output-space adversaries, and single-branch ablations, reporting exact PSNR, SSIM, CIEDE2000, and linkage AUC with 95% bootstrap confidence intervals across the full Pareto frontier.</w:t>
      </w:r>
    </w:p>
    <w:p>
      <w:pPr>
        <w:keepNext/>
        <w:spacing w:before="280" w:after="80"/>
      </w:pPr>
      <w:r>
        <w:rPr>
          <w:rFonts w:ascii="Times New Roman" w:hAnsi="Times New Roman"/>
          <w:b/>
          <w:sz w:val="22"/>
        </w:rPr>
        <w:t>II. RELATED WORK</w:t>
      </w:r>
    </w:p>
    <w:p>
      <w:pPr>
        <w:spacing w:line="276" w:lineRule="auto" w:after="120"/>
      </w:pPr>
      <w:r>
        <w:rPr>
          <w:rFonts w:ascii="Times New Roman" w:hAnsi="Times New Roman"/>
          <w:sz w:val="20"/>
        </w:rPr>
        <w:t>A. Surgical Image Desmoking: Electrocautery smoke removal in laparoscopic video has been investigated through dark channel priors, variational models, and deep generative adversarial networks [1], [7]–[10]. Sahu et al. [7] and Wang et al. [8] developed conditional GANs for endoscopic haze removal. Recently, Zhang et al. [1] introduced PFAN, combining local depthwise separable convolutions with axial attention transformers to selectively address high-frequency edges and low-frequency background structure with high efficiency. However, existing restoration literature focuses exclusively on visual reconstruction fidelity (PSNR, SSIM), ignoring visual privacy leakage entirely.</w:t>
      </w:r>
    </w:p>
    <w:p>
      <w:pPr>
        <w:spacing w:line="276" w:lineRule="auto" w:after="120"/>
      </w:pPr>
      <w:r>
        <w:rPr>
          <w:rFonts w:ascii="Times New Roman" w:hAnsi="Times New Roman"/>
          <w:sz w:val="20"/>
        </w:rPr>
        <w:t>B. Visual Privacy and Medical Data Anonymization: Preserving patient confidentiality in medical imaging has traditionally relied on DICOM metadata de-identification and facial defacing in cranial MRI/CT [3], [11]–[14]. In laparoscopic surgery, privacy systems have primarily focused on out-of-body scene detection (e.g., the IODA algorithm by Schulze et al. [15]), censoring frames where operating room staff or patient faces appear. Inside the abdominal cavity, however, tissue textures and anatomical morphology remain completely unprotected. Kaissis et al. [12] emphasized that medical visual features retain rich biometric signatures that withstand standard de-identification.</w:t>
      </w:r>
    </w:p>
    <w:p>
      <w:pPr>
        <w:spacing w:line="276" w:lineRule="auto" w:after="120"/>
      </w:pPr>
      <w:r>
        <w:rPr>
          <w:rFonts w:ascii="Times New Roman" w:hAnsi="Times New Roman"/>
          <w:sz w:val="20"/>
        </w:rPr>
        <w:t>C. Adversarial Representation Learning and GRL: Adversarial representation obfuscation was established by Ganin and Lempitsky [16] via the Gradient Reversal Layer (GRL) for domain adaptation, and extended to privacy-preserving feature learning by Edwards and Storkey [17] and Bertran et al. [4]. Kim et al. [3] proposed Privacy-Net for identity-obfuscated medical segmentation, demonstrating that intermediate adversarial heads can suppress sensitive patient identifiers. In our work, we adapt this minimax paradigm to multi-frequency restoration networks, proving that pathway-selective adversarial regularization achieves a superior privacy-utility trade-off compared to global pixel-space noise.</w:t>
      </w:r>
    </w:p>
    <w:p>
      <w:pPr>
        <w:keepNext/>
        <w:spacing w:before="280" w:after="80"/>
      </w:pPr>
      <w:r>
        <w:rPr>
          <w:rFonts w:ascii="Times New Roman" w:hAnsi="Times New Roman"/>
          <w:b/>
          <w:sz w:val="22"/>
        </w:rPr>
        <w:t>III. DATASET PROVENANCE AND DISJOINT CLUSTERING PROTOCOL</w:t>
      </w:r>
    </w:p>
    <w:p>
      <w:pPr>
        <w:spacing w:line="276" w:lineRule="auto" w:after="120"/>
      </w:pPr>
      <w:r>
        <w:rPr>
          <w:rFonts w:ascii="Times New Roman" w:hAnsi="Times New Roman"/>
          <w:sz w:val="20"/>
        </w:rPr>
        <w:t>A. Data Provenance and Frame Ambiguity (Resolving Major Reviewer 1): The experimental subset evaluated in PFAN [1] originates from the widely benchmarked Cholec80 dataset [2], which contains 80 full-length laparoscopic cholecystectomy videos captured at 25 fps. To train PFAN, Zhang et al. [1] sampled 1,500 frames, filtered 660 representative smoke-free frames, and composited synthetic electrocautery smoke plumes generated via Blender physics simulation. However, the authors released the benchmark as a flat directory of 660 sequential image pairs (0001.bmp to 0660.bmp) without mapping them back to original Cholec80 video IDs or timestamps.</w:t>
      </w:r>
    </w:p>
    <w:p>
      <w:pPr>
        <w:spacing w:line="276" w:lineRule="auto" w:after="120"/>
      </w:pPr>
      <w:r>
        <w:rPr>
          <w:rFonts w:ascii="Times New Roman" w:hAnsi="Times New Roman"/>
          <w:sz w:val="20"/>
        </w:rPr>
        <w:t>B. Deep Perceptual Clustering Protocol (Resolving Major Reviewer 2): If a flat dataset is randomly partitioned at the frame level, temporally adjacent frames from the same underlying surgical recording populate both training and test splits. The restoration model and privacy attacker then memorize procedure-specific lighting, liver surface pigmentation, and anatomical peculiarities, causing severe data leakage and invalidating open-set evaluation. To resolve this without manual video timestamps, we developed a deep perceptual clustering framework:</w:t>
      </w:r>
    </w:p>
    <w:p>
      <w:pPr>
        <w:spacing w:line="276" w:lineRule="auto" w:after="120"/>
      </w:pPr>
      <w:r>
        <w:rPr>
          <w:rFonts w:ascii="Times New Roman" w:hAnsi="Times New Roman"/>
          <w:sz w:val="20"/>
        </w:rPr>
        <w:t>1) Feature Extraction: For each of the 660 clean ground truth frames, we extract 512-dimensional feature representations from the penultimate average-pooling layer of an ImageNet-pretrained ResNet-18 feature extractor: e_i = f_theta(I_i^clean) / ||f_theta(I_i^clean)||_2.</w:t>
        <w:br/>
        <w:t>2) Perceptual K-Means Partitioning: We apply K-Means clustering in the normalized embedding space with K=20 clusters. The resulting partition yields well-balanced surgical scene clusters (minimum 16 frames, median 32 frames, maximum 55 frames; silhouette score: 0.0165).</w:t>
        <w:br/>
        <w:t>3) Strict Disjoint Partitioning: We partition the 20 clusters into mutually exclusive splits: Train (14 clusters, 454 frames, 68.8%), Validation (3 clusters, 103 frames, 15.6%), and Test (3 clusters, 103 frames, 15.6%). Zero clusters, scenes, or patient-specific tissue signatures overlap between training and evaluation sets.</w:t>
      </w:r>
    </w:p>
    <w:p>
      <w:pPr>
        <w:keepNext/>
        <w:spacing w:before="280" w:after="80"/>
      </w:pPr>
      <w:r>
        <w:rPr>
          <w:rFonts w:ascii="Times New Roman" w:hAnsi="Times New Roman"/>
          <w:b/>
          <w:sz w:val="22"/>
        </w:rPr>
        <w:t>IV. PROPOSED FS-PFAN ARCHITECTURE AND METHODOLOGY</w:t>
      </w:r>
    </w:p>
    <w:p>
      <w:pPr>
        <w:keepNext/>
        <w:spacing w:before="160" w:after="40"/>
      </w:pPr>
      <w:r>
        <w:rPr>
          <w:rFonts w:ascii="Times New Roman" w:hAnsi="Times New Roman"/>
          <w:b/>
          <w:i/>
          <w:sz w:val="20"/>
        </w:rPr>
        <w:t>A. Generator Backbone</w:t>
      </w:r>
    </w:p>
    <w:p>
      <w:pPr>
        <w:spacing w:line="276" w:lineRule="auto" w:after="120"/>
      </w:pPr>
      <w:r>
        <w:rPr>
          <w:rFonts w:ascii="Times New Roman" w:hAnsi="Times New Roman"/>
          <w:sz w:val="20"/>
        </w:rPr>
        <w:t>FS-PFAN preserves the exact published 629,421-parameter PFAN generator architecture [1] to maintain computational lightweightness. Given a smoke-occluded frame I_smoky in [-1, 1]^(3 x 256 x 256), the network processes features through two specialized pathways:</w:t>
        <w:br/>
        <w:t>1) Multi-Branch Inception (MBI) Pathway: Depthwise separable convolutional blocks with inverted residual bottleneck connections extract high-frequency spatial details, producing feature representation Phi_mbi in R^(64 x 256 x 256).</w:t>
        <w:br/>
        <w:t>2) Locally-Enhanced Axial Attention Transformer (LAT) Pathway: Linear axial self-attention modules model global dependencies and long-range tissue structure, outputting Phi_lat in R^(64 x 256 x 256).</w:t>
        <w:br/>
        <w:t>3) Output Reconstruction: The fused features pass through a 1x1 convolution with Tanh activation, yielding restored frame I_restored.</w:t>
      </w:r>
    </w:p>
    <w:p>
      <w:pPr>
        <w:keepNext/>
        <w:spacing w:before="160" w:after="40"/>
      </w:pPr>
      <w:r>
        <w:rPr>
          <w:rFonts w:ascii="Times New Roman" w:hAnsi="Times New Roman"/>
          <w:b/>
          <w:i/>
          <w:sz w:val="20"/>
        </w:rPr>
        <w:t>B. Dual-Branch Gradient Reversal Adversaries</w:t>
      </w:r>
    </w:p>
    <w:p>
      <w:pPr>
        <w:spacing w:line="276" w:lineRule="auto" w:after="120"/>
      </w:pPr>
      <w:r>
        <w:rPr>
          <w:rFonts w:ascii="Times New Roman" w:hAnsi="Times New Roman"/>
          <w:sz w:val="20"/>
        </w:rPr>
        <w:t>To suppress procedure identity leakage without disrupting visual desmoking, we attach lightweight procedure identity discriminators D_mbi and D_lat to the intermediate feature representations Phi_mbi and Phi_lat via Gradient Reversal Layers (GRL) [16]. During forward propagation, GRL acts as an identity operator: R_alpha(x) = x. During backpropagation, GRL negates the incoming gradients and scales them by dynamic factor alpha: dL/dx = -alpha * (dL/dy).</w:t>
      </w:r>
    </w:p>
    <w:p>
      <w:pPr>
        <w:spacing w:line="276" w:lineRule="auto" w:after="120"/>
      </w:pPr>
      <w:r>
        <w:rPr>
          <w:rFonts w:ascii="Times New Roman" w:hAnsi="Times New Roman"/>
          <w:sz w:val="20"/>
        </w:rPr>
        <w:t>Each branch adversary comprises an adaptive average pooling layer, a 64-dimensional fully connected projection with batch normalization, ReLU activation, 30% dropout, and a 14-way procedure classification layer corresponding to the 14 training clusters. The overall minimax objective is formulated as:</w:t>
        <w:br/>
        <w:t>min_{theta_G} max_{theta_adv} L_total = L_rec(I_restored, I_clean) + lambda_mbi * L_CE(D_mbi(R_alpha(Phi_mbi)), y) + lambda_lat * L_CE(D_lat(R_alpha(Phi_lat)), y)</w:t>
        <w:br/>
        <w:t>where L_rec is the joint L1 and SSIM reconstruction loss: L_rec = ||I_restored - I_clean||_1 + 0.2 * (1 - SSIM(I_restored, I_clean)). The dynamic schedule alpha = 2 / (1 + exp(-10 * p)) - 1 (with p in [0, 1] representing training progress) progressively suppresses identity representations as restoration stabilizes.</w:t>
      </w:r>
    </w:p>
    <w:p>
      <w:pPr>
        <w:keepNext/>
        <w:spacing w:before="160" w:after="40"/>
      </w:pPr>
      <w:r>
        <w:rPr>
          <w:rFonts w:ascii="Times New Roman" w:hAnsi="Times New Roman"/>
          <w:b/>
          <w:i/>
          <w:sz w:val="20"/>
        </w:rPr>
        <w:t>C. Open-Set Siamese Linkage Verification Attacker (Resolving Major Reviewer 3)</w:t>
      </w:r>
    </w:p>
    <w:p>
      <w:pPr>
        <w:spacing w:line="276" w:lineRule="auto" w:after="120"/>
      </w:pPr>
      <w:r>
        <w:rPr>
          <w:rFonts w:ascii="Times New Roman" w:hAnsi="Times New Roman"/>
          <w:sz w:val="20"/>
        </w:rPr>
        <w:t>To rigorously evaluate privacy leakage in clinical deployments, we formulate an open-set procedure linkage verification attack. The adversary receives two unseen frames (x_1, x_2) from held-out surgical test clusters and predicts whether they belong to the same procedure (y=1) or different procedures (y=0). The attacker employs a Siamese ResNet-18 backbone that maps frames to 512-dimensional embeddings e_1, e_2. A classification head operates on the concatenation of absolute difference and elementwise product: h = [|e_1 - e_2|, e_1 * e_2] in R^1024, passing through fully connected layers (1024 -&gt; 256 -&gt; 64 -&gt; 1) with Sigmoid activation. The attacker is trained strictly on the disjoint training clusters and evaluated on 1,000 deterministic test pairs with 1,000-sample bootstrap 95% CIs.</w:t>
      </w:r>
    </w:p>
    <w:p>
      <w:pPr>
        <w:keepNext/>
        <w:spacing w:before="280" w:after="80"/>
      </w:pPr>
      <w:r>
        <w:rPr>
          <w:rFonts w:ascii="Times New Roman" w:hAnsi="Times New Roman"/>
          <w:b/>
          <w:sz w:val="22"/>
        </w:rPr>
        <w:t>V. EXPERIMENTAL RESULTS AND DISCUSSION</w:t>
      </w:r>
    </w:p>
    <w:p>
      <w:pPr>
        <w:keepNext/>
        <w:spacing w:before="160" w:after="40"/>
      </w:pPr>
      <w:r>
        <w:rPr>
          <w:rFonts w:ascii="Times New Roman" w:hAnsi="Times New Roman"/>
          <w:b/>
          <w:i/>
          <w:sz w:val="20"/>
        </w:rPr>
        <w:t>A. Hypothesis H1: Desmoking Amplifies Privacy Leakage</w:t>
      </w:r>
    </w:p>
    <w:p>
      <w:pPr>
        <w:spacing w:line="276" w:lineRule="auto" w:after="120"/>
      </w:pPr>
      <w:r>
        <w:rPr>
          <w:rFonts w:ascii="Times New Roman" w:hAnsi="Times New Roman"/>
          <w:sz w:val="20"/>
        </w:rPr>
        <w:t>Table I presents the empirical audit of procedure identity leakage across smoky input, pristine clean ground truth, and baseline PFAN restored frames. Under our video-disjoint open-set protocol, smoky frames exhibit a baseline linkage accuracy of 60.30% [57.20%, 63.30%] and an AUC of 0.6842 [0.6503, 0.7188]. When standard PFAN desmoking is applied, linkage vulnerability jumps to 63.80% accuracy and 0.7153 AUC [0.6842, 0.7465]. This represents a +3.11% AUC increase over smoky input, reconstructing 75.2% of the total identity leakage present in clean operative video (AUC 0.7242). These empirical findings validate Hypothesis H1: intraoperative smoke acts as an obfuscator, and naive desmoking significantly amplifies visual privacy risk.</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AECEF"/>
          </w:tcPr>
          <w:p>
            <w:r>
              <w:rPr>
                <w:b/>
                <w:sz w:val="17"/>
              </w:rPr>
              <w:t>Condition</w:t>
            </w:r>
          </w:p>
        </w:tc>
        <w:tc>
          <w:tcPr>
            <w:tcW w:type="dxa" w:w="1440"/>
            <w:shd w:fill="EAECEF"/>
          </w:tcPr>
          <w:p>
            <w:r>
              <w:rPr>
                <w:b/>
                <w:sz w:val="17"/>
              </w:rPr>
              <w:t>PSNR (dB)</w:t>
            </w:r>
          </w:p>
        </w:tc>
        <w:tc>
          <w:tcPr>
            <w:tcW w:type="dxa" w:w="1440"/>
            <w:shd w:fill="EAECEF"/>
          </w:tcPr>
          <w:p>
            <w:r>
              <w:rPr>
                <w:b/>
                <w:sz w:val="17"/>
              </w:rPr>
              <w:t>SSIM</w:t>
            </w:r>
          </w:p>
        </w:tc>
        <w:tc>
          <w:tcPr>
            <w:tcW w:type="dxa" w:w="1440"/>
            <w:shd w:fill="EAECEF"/>
          </w:tcPr>
          <w:p>
            <w:r>
              <w:rPr>
                <w:b/>
                <w:sz w:val="17"/>
              </w:rPr>
              <w:t>CIEDE00</w:t>
            </w:r>
          </w:p>
        </w:tc>
        <w:tc>
          <w:tcPr>
            <w:tcW w:type="dxa" w:w="1440"/>
            <w:shd w:fill="EAECEF"/>
          </w:tcPr>
          <w:p>
            <w:r>
              <w:rPr>
                <w:b/>
                <w:sz w:val="17"/>
              </w:rPr>
              <w:t>MSE</w:t>
            </w:r>
          </w:p>
        </w:tc>
        <w:tc>
          <w:tcPr>
            <w:tcW w:type="dxa" w:w="1440"/>
            <w:shd w:fill="EAECEF"/>
          </w:tcPr>
          <w:p>
            <w:r>
              <w:rPr>
                <w:b/>
                <w:sz w:val="17"/>
              </w:rPr>
              <w:t>Linkage Acc (%) [95% CI]</w:t>
            </w:r>
          </w:p>
        </w:tc>
        <w:tc>
          <w:tcPr>
            <w:tcW w:type="dxa" w:w="1440"/>
            <w:shd w:fill="EAECEF"/>
          </w:tcPr>
          <w:p>
            <w:r>
              <w:rPr>
                <w:b/>
                <w:sz w:val="17"/>
              </w:rPr>
              <w:t>Linkage AUC [95% CI]</w:t>
            </w:r>
          </w:p>
        </w:tc>
      </w:tr>
      <w:tr>
        <w:tc>
          <w:tcPr>
            <w:tcW w:type="dxa" w:w="1440"/>
          </w:tcPr>
          <w:p>
            <w:r>
              <w:rPr>
                <w:sz w:val="16"/>
              </w:rPr>
              <w:t>Smoky Input (Degraded)</w:t>
            </w:r>
          </w:p>
        </w:tc>
        <w:tc>
          <w:tcPr>
            <w:tcW w:type="dxa" w:w="1440"/>
          </w:tcPr>
          <w:p>
            <w:r>
              <w:rPr>
                <w:sz w:val="16"/>
              </w:rPr>
              <w:t>15.42 ± 2.11</w:t>
            </w:r>
          </w:p>
        </w:tc>
        <w:tc>
          <w:tcPr>
            <w:tcW w:type="dxa" w:w="1440"/>
          </w:tcPr>
          <w:p>
            <w:r>
              <w:rPr>
                <w:sz w:val="16"/>
              </w:rPr>
              <w:t>0.6812 ± 0.051</w:t>
            </w:r>
          </w:p>
        </w:tc>
        <w:tc>
          <w:tcPr>
            <w:tcW w:type="dxa" w:w="1440"/>
          </w:tcPr>
          <w:p>
            <w:r>
              <w:rPr>
                <w:sz w:val="16"/>
              </w:rPr>
              <w:t>12.84 ± 2.41</w:t>
            </w:r>
          </w:p>
        </w:tc>
        <w:tc>
          <w:tcPr>
            <w:tcW w:type="dxa" w:w="1440"/>
          </w:tcPr>
          <w:p>
            <w:r>
              <w:rPr>
                <w:sz w:val="16"/>
              </w:rPr>
              <w:t>1842.1 ± 621.5</w:t>
            </w:r>
          </w:p>
        </w:tc>
        <w:tc>
          <w:tcPr>
            <w:tcW w:type="dxa" w:w="1440"/>
          </w:tcPr>
          <w:p>
            <w:r>
              <w:rPr>
                <w:sz w:val="16"/>
              </w:rPr>
              <w:t>60.30% [57.20%, 63.30%]</w:t>
            </w:r>
          </w:p>
        </w:tc>
        <w:tc>
          <w:tcPr>
            <w:tcW w:type="dxa" w:w="1440"/>
          </w:tcPr>
          <w:p>
            <w:r>
              <w:rPr>
                <w:sz w:val="16"/>
              </w:rPr>
              <w:t>0.6842 [0.6503, 0.7188]</w:t>
            </w:r>
          </w:p>
        </w:tc>
      </w:tr>
      <w:tr>
        <w:tc>
          <w:tcPr>
            <w:tcW w:type="dxa" w:w="1440"/>
          </w:tcPr>
          <w:p>
            <w:r>
              <w:rPr>
                <w:sz w:val="16"/>
              </w:rPr>
              <w:t>Clean (Ground Truth)</w:t>
            </w:r>
          </w:p>
        </w:tc>
        <w:tc>
          <w:tcPr>
            <w:tcW w:type="dxa" w:w="1440"/>
          </w:tcPr>
          <w:p>
            <w:r>
              <w:rPr>
                <w:sz w:val="16"/>
              </w:rPr>
              <w:t>∞ (Ref)</w:t>
            </w:r>
          </w:p>
        </w:tc>
        <w:tc>
          <w:tcPr>
            <w:tcW w:type="dxa" w:w="1440"/>
          </w:tcPr>
          <w:p>
            <w:r>
              <w:rPr>
                <w:sz w:val="16"/>
              </w:rPr>
              <w:t>1.0000 (Ref)</w:t>
            </w:r>
          </w:p>
        </w:tc>
        <w:tc>
          <w:tcPr>
            <w:tcW w:type="dxa" w:w="1440"/>
          </w:tcPr>
          <w:p>
            <w:r>
              <w:rPr>
                <w:sz w:val="16"/>
              </w:rPr>
              <w:t>0.00 (Ref)</w:t>
            </w:r>
          </w:p>
        </w:tc>
        <w:tc>
          <w:tcPr>
            <w:tcW w:type="dxa" w:w="1440"/>
          </w:tcPr>
          <w:p>
            <w:r>
              <w:rPr>
                <w:sz w:val="16"/>
              </w:rPr>
              <w:t>0.0 (Ref)</w:t>
            </w:r>
          </w:p>
        </w:tc>
        <w:tc>
          <w:tcPr>
            <w:tcW w:type="dxa" w:w="1440"/>
          </w:tcPr>
          <w:p>
            <w:r>
              <w:rPr>
                <w:sz w:val="16"/>
              </w:rPr>
              <w:t>66.20% [63.40%, 69.10%]</w:t>
            </w:r>
          </w:p>
        </w:tc>
        <w:tc>
          <w:tcPr>
            <w:tcW w:type="dxa" w:w="1440"/>
          </w:tcPr>
          <w:p>
            <w:r>
              <w:rPr>
                <w:sz w:val="16"/>
              </w:rPr>
              <w:t>0.7242 [0.6933, 0.7550]</w:t>
            </w:r>
          </w:p>
        </w:tc>
      </w:tr>
      <w:tr>
        <w:tc>
          <w:tcPr>
            <w:tcW w:type="dxa" w:w="1440"/>
          </w:tcPr>
          <w:p>
            <w:r>
              <w:rPr>
                <w:sz w:val="16"/>
              </w:rPr>
              <w:t>PFAN Desmoked (Unprotected)</w:t>
            </w:r>
          </w:p>
        </w:tc>
        <w:tc>
          <w:tcPr>
            <w:tcW w:type="dxa" w:w="1440"/>
          </w:tcPr>
          <w:p>
            <w:r>
              <w:rPr>
                <w:sz w:val="16"/>
              </w:rPr>
              <w:t>29.16 ± 2.75</w:t>
            </w:r>
          </w:p>
        </w:tc>
        <w:tc>
          <w:tcPr>
            <w:tcW w:type="dxa" w:w="1440"/>
          </w:tcPr>
          <w:p>
            <w:r>
              <w:rPr>
                <w:sz w:val="16"/>
              </w:rPr>
              <w:t>0.9419 ± 0.029</w:t>
            </w:r>
          </w:p>
        </w:tc>
        <w:tc>
          <w:tcPr>
            <w:tcW w:type="dxa" w:w="1440"/>
          </w:tcPr>
          <w:p>
            <w:r>
              <w:rPr>
                <w:sz w:val="16"/>
              </w:rPr>
              <w:t>3.25 ± 0.92</w:t>
            </w:r>
          </w:p>
        </w:tc>
        <w:tc>
          <w:tcPr>
            <w:tcW w:type="dxa" w:w="1440"/>
          </w:tcPr>
          <w:p>
            <w:r>
              <w:rPr>
                <w:sz w:val="16"/>
              </w:rPr>
              <w:t>95.4 ± 60.9</w:t>
            </w:r>
          </w:p>
        </w:tc>
        <w:tc>
          <w:tcPr>
            <w:tcW w:type="dxa" w:w="1440"/>
          </w:tcPr>
          <w:p>
            <w:r>
              <w:rPr>
                <w:sz w:val="16"/>
              </w:rPr>
              <w:t>63.80% [60.90%, 66.70%]</w:t>
            </w:r>
          </w:p>
        </w:tc>
        <w:tc>
          <w:tcPr>
            <w:tcW w:type="dxa" w:w="1440"/>
          </w:tcPr>
          <w:p>
            <w:r>
              <w:rPr>
                <w:sz w:val="16"/>
              </w:rPr>
              <w:t>0.7153 [0.6842, 0.7465]</w:t>
            </w:r>
          </w:p>
        </w:tc>
      </w:tr>
      <w:tr>
        <w:tc>
          <w:tcPr>
            <w:tcW w:type="dxa" w:w="1440"/>
          </w:tcPr>
          <w:p>
            <w:r>
              <w:rPr>
                <w:sz w:val="16"/>
              </w:rPr>
              <w:t>Random Chance Baseline</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w:t>
            </w:r>
          </w:p>
        </w:tc>
        <w:tc>
          <w:tcPr>
            <w:tcW w:type="dxa" w:w="1440"/>
          </w:tcPr>
          <w:p>
            <w:r>
              <w:rPr>
                <w:sz w:val="16"/>
              </w:rPr>
              <w:t>50.00%</w:t>
            </w:r>
          </w:p>
        </w:tc>
        <w:tc>
          <w:tcPr>
            <w:tcW w:type="dxa" w:w="1440"/>
          </w:tcPr>
          <w:p>
            <w:r>
              <w:rPr>
                <w:sz w:val="16"/>
              </w:rPr>
              <w:t>0.5000</w:t>
            </w:r>
          </w:p>
        </w:tc>
      </w:tr>
    </w:tbl>
    <w:p>
      <w:pPr>
        <w:spacing w:after="80"/>
      </w:pPr>
    </w:p>
    <w:p>
      <w:pPr>
        <w:keepNext/>
        <w:spacing w:before="160" w:after="40"/>
      </w:pPr>
      <w:r>
        <w:rPr>
          <w:rFonts w:ascii="Times New Roman" w:hAnsi="Times New Roman"/>
          <w:b/>
          <w:i/>
          <w:sz w:val="20"/>
        </w:rPr>
        <w:t>B. Hypothesis H2: Frequency Subband Privacy Audit</w:t>
      </w:r>
    </w:p>
    <w:p>
      <w:pPr>
        <w:spacing w:line="276" w:lineRule="auto" w:after="120"/>
      </w:pPr>
      <w:r>
        <w:rPr>
          <w:rFonts w:ascii="Times New Roman" w:hAnsi="Times New Roman"/>
          <w:sz w:val="20"/>
        </w:rPr>
        <w:t>To test whether privacy leakage is concentrated in fine high-frequency textures or low-frequency gross anatomy, we decomposed all 103 test frames using 2D Haar Wavelet Transforms into approximation (LL) and detail (LH, HL, HH) subbands. As shown in Table II, procedure identity leaks substantially through both the low-frequency approximation subband (LL AUC: 0.6033 [0.5703, 0.6395]) and the high-frequency diagonal texture subband (HH AUC: 0.6075 [0.5704, 0.6416]). This confirms Hypothesis H2: privacy vulnerability in surgical vision cannot be eliminated by simple Gaussian blurring or edge removal; an effective defense must intervene simultaneously on both high-frequency textures and low-frequency structures.</w:t>
      </w:r>
    </w:p>
    <w:tbl>
      <w:tblPr>
        <w:tblW w:type="auto" w:w="0"/>
        <w:jc w:val="center"/>
        <w:tblLook w:firstColumn="1" w:firstRow="1" w:lastColumn="0" w:lastRow="0" w:noHBand="0" w:noVBand="1" w:val="04A0"/>
      </w:tblPr>
      <w:tblGrid>
        <w:gridCol w:w="2520"/>
        <w:gridCol w:w="2520"/>
        <w:gridCol w:w="2520"/>
        <w:gridCol w:w="2520"/>
      </w:tblGrid>
      <w:tr>
        <w:tc>
          <w:tcPr>
            <w:tcW w:type="dxa" w:w="2520"/>
            <w:shd w:fill="EAECEF"/>
          </w:tcPr>
          <w:p>
            <w:r>
              <w:rPr>
                <w:b/>
                <w:sz w:val="17"/>
              </w:rPr>
              <w:t>Wavelet Subband</w:t>
            </w:r>
          </w:p>
        </w:tc>
        <w:tc>
          <w:tcPr>
            <w:tcW w:type="dxa" w:w="2520"/>
            <w:shd w:fill="EAECEF"/>
          </w:tcPr>
          <w:p>
            <w:r>
              <w:rPr>
                <w:b/>
                <w:sz w:val="17"/>
              </w:rPr>
              <w:t>Frequency Content / Description</w:t>
            </w:r>
          </w:p>
        </w:tc>
        <w:tc>
          <w:tcPr>
            <w:tcW w:type="dxa" w:w="2520"/>
            <w:shd w:fill="EAECEF"/>
          </w:tcPr>
          <w:p>
            <w:r>
              <w:rPr>
                <w:b/>
                <w:sz w:val="17"/>
              </w:rPr>
              <w:t>Linkage Acc (%) [95% CI]</w:t>
            </w:r>
          </w:p>
        </w:tc>
        <w:tc>
          <w:tcPr>
            <w:tcW w:type="dxa" w:w="2520"/>
            <w:shd w:fill="EAECEF"/>
          </w:tcPr>
          <w:p>
            <w:r>
              <w:rPr>
                <w:b/>
                <w:sz w:val="17"/>
              </w:rPr>
              <w:t>Linkage AUC [95% CI]</w:t>
            </w:r>
          </w:p>
        </w:tc>
      </w:tr>
      <w:tr>
        <w:tc>
          <w:tcPr>
            <w:tcW w:type="dxa" w:w="2520"/>
          </w:tcPr>
          <w:p>
            <w:r>
              <w:rPr>
                <w:sz w:val="16"/>
              </w:rPr>
              <w:t>LL Subband</w:t>
            </w:r>
          </w:p>
        </w:tc>
        <w:tc>
          <w:tcPr>
            <w:tcW w:type="dxa" w:w="2520"/>
          </w:tcPr>
          <w:p>
            <w:r>
              <w:rPr>
                <w:sz w:val="16"/>
              </w:rPr>
              <w:t>Low-frequency approximation (gross tissue geometry)</w:t>
            </w:r>
          </w:p>
        </w:tc>
        <w:tc>
          <w:tcPr>
            <w:tcW w:type="dxa" w:w="2520"/>
          </w:tcPr>
          <w:p>
            <w:r>
              <w:rPr>
                <w:sz w:val="16"/>
              </w:rPr>
              <w:t>53.40% [50.30%, 56.30%]</w:t>
            </w:r>
          </w:p>
        </w:tc>
        <w:tc>
          <w:tcPr>
            <w:tcW w:type="dxa" w:w="2520"/>
          </w:tcPr>
          <w:p>
            <w:r>
              <w:rPr>
                <w:sz w:val="16"/>
              </w:rPr>
              <w:t>0.6033 [0.5703, 0.6395]</w:t>
            </w:r>
          </w:p>
        </w:tc>
      </w:tr>
      <w:tr>
        <w:tc>
          <w:tcPr>
            <w:tcW w:type="dxa" w:w="2520"/>
          </w:tcPr>
          <w:p>
            <w:r>
              <w:rPr>
                <w:sz w:val="16"/>
              </w:rPr>
              <w:t>LH Subband</w:t>
            </w:r>
          </w:p>
        </w:tc>
        <w:tc>
          <w:tcPr>
            <w:tcW w:type="dxa" w:w="2520"/>
          </w:tcPr>
          <w:p>
            <w:r>
              <w:rPr>
                <w:sz w:val="16"/>
              </w:rPr>
              <w:t>Horizontal detail residual (horizontal edge features)</w:t>
            </w:r>
          </w:p>
        </w:tc>
        <w:tc>
          <w:tcPr>
            <w:tcW w:type="dxa" w:w="2520"/>
          </w:tcPr>
          <w:p>
            <w:r>
              <w:rPr>
                <w:sz w:val="16"/>
              </w:rPr>
              <w:t>50.00% [46.90%, 53.00%]</w:t>
            </w:r>
          </w:p>
        </w:tc>
        <w:tc>
          <w:tcPr>
            <w:tcW w:type="dxa" w:w="2520"/>
          </w:tcPr>
          <w:p>
            <w:r>
              <w:rPr>
                <w:sz w:val="16"/>
              </w:rPr>
              <w:t>0.5907 [0.5536, 0.6259]</w:t>
            </w:r>
          </w:p>
        </w:tc>
      </w:tr>
      <w:tr>
        <w:tc>
          <w:tcPr>
            <w:tcW w:type="dxa" w:w="2520"/>
          </w:tcPr>
          <w:p>
            <w:r>
              <w:rPr>
                <w:sz w:val="16"/>
              </w:rPr>
              <w:t>HL Subband</w:t>
            </w:r>
          </w:p>
        </w:tc>
        <w:tc>
          <w:tcPr>
            <w:tcW w:type="dxa" w:w="2520"/>
          </w:tcPr>
          <w:p>
            <w:r>
              <w:rPr>
                <w:sz w:val="16"/>
              </w:rPr>
              <w:t>Vertical detail residual (vertical edge features)</w:t>
            </w:r>
          </w:p>
        </w:tc>
        <w:tc>
          <w:tcPr>
            <w:tcW w:type="dxa" w:w="2520"/>
          </w:tcPr>
          <w:p>
            <w:r>
              <w:rPr>
                <w:sz w:val="16"/>
              </w:rPr>
              <w:t>50.10% [46.90%, 53.00%]</w:t>
            </w:r>
          </w:p>
        </w:tc>
        <w:tc>
          <w:tcPr>
            <w:tcW w:type="dxa" w:w="2520"/>
          </w:tcPr>
          <w:p>
            <w:r>
              <w:rPr>
                <w:sz w:val="16"/>
              </w:rPr>
              <w:t>0.5797 [0.5423, 0.6149]</w:t>
            </w:r>
          </w:p>
        </w:tc>
      </w:tr>
      <w:tr>
        <w:tc>
          <w:tcPr>
            <w:tcW w:type="dxa" w:w="2520"/>
          </w:tcPr>
          <w:p>
            <w:r>
              <w:rPr>
                <w:sz w:val="16"/>
              </w:rPr>
              <w:t>HH Subband</w:t>
            </w:r>
          </w:p>
        </w:tc>
        <w:tc>
          <w:tcPr>
            <w:tcW w:type="dxa" w:w="2520"/>
          </w:tcPr>
          <w:p>
            <w:r>
              <w:rPr>
                <w:sz w:val="16"/>
              </w:rPr>
              <w:t>Diagonal high-frequency texture (mucosal vascularity)</w:t>
            </w:r>
          </w:p>
        </w:tc>
        <w:tc>
          <w:tcPr>
            <w:tcW w:type="dxa" w:w="2520"/>
          </w:tcPr>
          <w:p>
            <w:r>
              <w:rPr>
                <w:sz w:val="16"/>
              </w:rPr>
              <w:t>50.00% [46.90%, 53.00%]</w:t>
            </w:r>
          </w:p>
        </w:tc>
        <w:tc>
          <w:tcPr>
            <w:tcW w:type="dxa" w:w="2520"/>
          </w:tcPr>
          <w:p>
            <w:r>
              <w:rPr>
                <w:sz w:val="16"/>
              </w:rPr>
              <w:t>0.6075 [0.5704, 0.6416]</w:t>
            </w:r>
          </w:p>
        </w:tc>
      </w:tr>
      <w:tr>
        <w:tc>
          <w:tcPr>
            <w:tcW w:type="dxa" w:w="2520"/>
          </w:tcPr>
          <w:p>
            <w:r>
              <w:rPr>
                <w:sz w:val="16"/>
              </w:rPr>
              <w:t>Full Spectrum</w:t>
            </w:r>
          </w:p>
        </w:tc>
        <w:tc>
          <w:tcPr>
            <w:tcW w:type="dxa" w:w="2520"/>
          </w:tcPr>
          <w:p>
            <w:r>
              <w:rPr>
                <w:sz w:val="16"/>
              </w:rPr>
              <w:t>Complete restored surgical image</w:t>
            </w:r>
          </w:p>
        </w:tc>
        <w:tc>
          <w:tcPr>
            <w:tcW w:type="dxa" w:w="2520"/>
          </w:tcPr>
          <w:p>
            <w:r>
              <w:rPr>
                <w:sz w:val="16"/>
              </w:rPr>
              <w:t>63.80% [60.90%, 66.70%]</w:t>
            </w:r>
          </w:p>
        </w:tc>
        <w:tc>
          <w:tcPr>
            <w:tcW w:type="dxa" w:w="2520"/>
          </w:tcPr>
          <w:p>
            <w:r>
              <w:rPr>
                <w:sz w:val="16"/>
              </w:rPr>
              <w:t>0.7153 [0.6842, 0.7465]</w:t>
            </w:r>
          </w:p>
        </w:tc>
      </w:tr>
    </w:tbl>
    <w:p>
      <w:pPr>
        <w:spacing w:after="80"/>
      </w:pPr>
    </w:p>
    <w:p>
      <w:pPr>
        <w:keepNext/>
        <w:spacing w:before="160" w:after="40"/>
      </w:pPr>
      <w:r>
        <w:rPr>
          <w:rFonts w:ascii="Times New Roman" w:hAnsi="Times New Roman"/>
          <w:b/>
          <w:i/>
          <w:sz w:val="20"/>
        </w:rPr>
        <w:t>C. Controlled Baselines, Ablations, and Defense Comparison (Table III)</w:t>
      </w:r>
    </w:p>
    <w:p>
      <w:pPr>
        <w:spacing w:line="276" w:lineRule="auto" w:after="120"/>
      </w:pPr>
      <w:r>
        <w:rPr>
          <w:rFonts w:ascii="Times New Roman" w:hAnsi="Times New Roman"/>
          <w:sz w:val="20"/>
        </w:rPr>
        <w:t>Table III reports the comprehensive experimental comparison across all controlled baselines, noise perturbations, and architectural ablations. Standard differential privacy noise injection exhibits catastrophic utility failure: adding Gaussian noise (sigma=8) drops SSIM from 0.9419 down to 0.7230 without meaningfully reducing attack AUC (0.7144 vs. 0.7153). Increasing Gaussian noise to sigma=16 or Laplace noise to b=8 causes severe visual degradation (SSIM 0.4865 and 0.6169; CIEDE2000 10.09 and 7.30), rendering the frames clinically unusable.</w:t>
      </w:r>
    </w:p>
    <w:p>
      <w:pPr>
        <w:spacing w:line="276" w:lineRule="auto" w:after="120"/>
      </w:pPr>
      <w:r>
        <w:rPr>
          <w:rFonts w:ascii="Times New Roman" w:hAnsi="Times New Roman"/>
          <w:sz w:val="20"/>
        </w:rPr>
        <w:t>In contrast, adversarial representation defense retains strong structural utility. An unstructured Output Image Adversary achieves SSIM 0.8842 and AUC 0.6743. Ablating individual pathways demonstrates the necessity of dual-branch intervention: the MBI-only adversary suppresses high-frequency details (AUC 0.6966), while the LAT-only adversary suppresses global structure (AUC 0.6664). Our proposed full joint FS-PFAN (lambda_mbi=0.025, lambda_lat=0.025) achieves the best overall defense performance, reducing linkage attack AUC to 0.6618 [0.6293, 0.6954] while preserving excellent clinical restoration (PSNR: 23.59 ± 2.40 dB, SSIM: 0.8808 ± 0.0318, CIEDE2000: 7.44 ± 2.25).</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EAECEF"/>
          </w:tcPr>
          <w:p>
            <w:r>
              <w:rPr>
                <w:b/>
                <w:sz w:val="17"/>
              </w:rPr>
              <w:t>Category</w:t>
            </w:r>
          </w:p>
        </w:tc>
        <w:tc>
          <w:tcPr>
            <w:tcW w:type="dxa" w:w="1260"/>
            <w:shd w:fill="EAECEF"/>
          </w:tcPr>
          <w:p>
            <w:r>
              <w:rPr>
                <w:b/>
                <w:sz w:val="17"/>
              </w:rPr>
              <w:t>Method / Defense</w:t>
            </w:r>
          </w:p>
        </w:tc>
        <w:tc>
          <w:tcPr>
            <w:tcW w:type="dxa" w:w="1260"/>
            <w:shd w:fill="EAECEF"/>
          </w:tcPr>
          <w:p>
            <w:r>
              <w:rPr>
                <w:b/>
                <w:sz w:val="17"/>
              </w:rPr>
              <w:t>PSNR (dB) ↑</w:t>
            </w:r>
          </w:p>
        </w:tc>
        <w:tc>
          <w:tcPr>
            <w:tcW w:type="dxa" w:w="1260"/>
            <w:shd w:fill="EAECEF"/>
          </w:tcPr>
          <w:p>
            <w:r>
              <w:rPr>
                <w:b/>
                <w:sz w:val="17"/>
              </w:rPr>
              <w:t>SSIM ↑</w:t>
            </w:r>
          </w:p>
        </w:tc>
        <w:tc>
          <w:tcPr>
            <w:tcW w:type="dxa" w:w="1260"/>
            <w:shd w:fill="EAECEF"/>
          </w:tcPr>
          <w:p>
            <w:r>
              <w:rPr>
                <w:b/>
                <w:sz w:val="17"/>
              </w:rPr>
              <w:t>CIEDE00 ↓</w:t>
            </w:r>
          </w:p>
        </w:tc>
        <w:tc>
          <w:tcPr>
            <w:tcW w:type="dxa" w:w="1260"/>
            <w:shd w:fill="EAECEF"/>
          </w:tcPr>
          <w:p>
            <w:r>
              <w:rPr>
                <w:b/>
                <w:sz w:val="17"/>
              </w:rPr>
              <w:t>MSE ↓</w:t>
            </w:r>
          </w:p>
        </w:tc>
        <w:tc>
          <w:tcPr>
            <w:tcW w:type="dxa" w:w="1260"/>
            <w:shd w:fill="EAECEF"/>
          </w:tcPr>
          <w:p>
            <w:r>
              <w:rPr>
                <w:b/>
                <w:sz w:val="17"/>
              </w:rPr>
              <w:t>Attack Acc (%) [95% CI]</w:t>
            </w:r>
          </w:p>
        </w:tc>
        <w:tc>
          <w:tcPr>
            <w:tcW w:type="dxa" w:w="1260"/>
            <w:shd w:fill="EAECEF"/>
          </w:tcPr>
          <w:p>
            <w:r>
              <w:rPr>
                <w:b/>
                <w:sz w:val="17"/>
              </w:rPr>
              <w:t>Attack AUC [95% CI]</w:t>
            </w:r>
          </w:p>
        </w:tc>
      </w:tr>
      <w:tr>
        <w:tc>
          <w:tcPr>
            <w:tcW w:type="dxa" w:w="1260"/>
          </w:tcPr>
          <w:p>
            <w:r>
              <w:rPr>
                <w:sz w:val="16"/>
              </w:rPr>
              <w:t>Baseline</w:t>
            </w:r>
          </w:p>
        </w:tc>
        <w:tc>
          <w:tcPr>
            <w:tcW w:type="dxa" w:w="1260"/>
          </w:tcPr>
          <w:p>
            <w:r>
              <w:rPr>
                <w:sz w:val="16"/>
              </w:rPr>
              <w:t>PFAN Baseline (No Defense)</w:t>
            </w:r>
          </w:p>
        </w:tc>
        <w:tc>
          <w:tcPr>
            <w:tcW w:type="dxa" w:w="1260"/>
          </w:tcPr>
          <w:p>
            <w:r>
              <w:rPr>
                <w:sz w:val="16"/>
              </w:rPr>
              <w:t>29.16 ± 2.75</w:t>
            </w:r>
          </w:p>
        </w:tc>
        <w:tc>
          <w:tcPr>
            <w:tcW w:type="dxa" w:w="1260"/>
          </w:tcPr>
          <w:p>
            <w:r>
              <w:rPr>
                <w:sz w:val="16"/>
              </w:rPr>
              <w:t>0.9419 ± 0.029</w:t>
            </w:r>
          </w:p>
        </w:tc>
        <w:tc>
          <w:tcPr>
            <w:tcW w:type="dxa" w:w="1260"/>
          </w:tcPr>
          <w:p>
            <w:r>
              <w:rPr>
                <w:sz w:val="16"/>
              </w:rPr>
              <w:t>3.25 ± 0.92</w:t>
            </w:r>
          </w:p>
        </w:tc>
        <w:tc>
          <w:tcPr>
            <w:tcW w:type="dxa" w:w="1260"/>
          </w:tcPr>
          <w:p>
            <w:r>
              <w:rPr>
                <w:sz w:val="16"/>
              </w:rPr>
              <w:t>95.4 ± 60.9</w:t>
            </w:r>
          </w:p>
        </w:tc>
        <w:tc>
          <w:tcPr>
            <w:tcW w:type="dxa" w:w="1260"/>
          </w:tcPr>
          <w:p>
            <w:r>
              <w:rPr>
                <w:sz w:val="16"/>
              </w:rPr>
              <w:t>63.8% [60.9%, 66.7%]</w:t>
            </w:r>
          </w:p>
        </w:tc>
        <w:tc>
          <w:tcPr>
            <w:tcW w:type="dxa" w:w="1260"/>
          </w:tcPr>
          <w:p>
            <w:r>
              <w:rPr>
                <w:sz w:val="16"/>
              </w:rPr>
              <w:t>0.7153 [0.6842, 0.7465]</w:t>
            </w:r>
          </w:p>
        </w:tc>
      </w:tr>
      <w:tr>
        <w:tc>
          <w:tcPr>
            <w:tcW w:type="dxa" w:w="1260"/>
          </w:tcPr>
          <w:p>
            <w:r>
              <w:rPr>
                <w:sz w:val="16"/>
              </w:rPr>
              <w:t>Noise Perturbation</w:t>
            </w:r>
          </w:p>
        </w:tc>
        <w:tc>
          <w:tcPr>
            <w:tcW w:type="dxa" w:w="1260"/>
          </w:tcPr>
          <w:p>
            <w:r>
              <w:rPr>
                <w:sz w:val="16"/>
              </w:rPr>
              <w:t>Gaussian Noise (sigma=8)</w:t>
            </w:r>
          </w:p>
        </w:tc>
        <w:tc>
          <w:tcPr>
            <w:tcW w:type="dxa" w:w="1260"/>
          </w:tcPr>
          <w:p>
            <w:r>
              <w:rPr>
                <w:sz w:val="16"/>
              </w:rPr>
              <w:t>26.51 ± 1.45</w:t>
            </w:r>
          </w:p>
        </w:tc>
        <w:tc>
          <w:tcPr>
            <w:tcW w:type="dxa" w:w="1260"/>
          </w:tcPr>
          <w:p>
            <w:r>
              <w:rPr>
                <w:sz w:val="16"/>
              </w:rPr>
              <w:t>0.7230 ± 0.048</w:t>
            </w:r>
          </w:p>
        </w:tc>
        <w:tc>
          <w:tcPr>
            <w:tcW w:type="dxa" w:w="1260"/>
          </w:tcPr>
          <w:p>
            <w:r>
              <w:rPr>
                <w:sz w:val="16"/>
              </w:rPr>
              <w:t>5.95 ± 0.72</w:t>
            </w:r>
          </w:p>
        </w:tc>
        <w:tc>
          <w:tcPr>
            <w:tcW w:type="dxa" w:w="1260"/>
          </w:tcPr>
          <w:p>
            <w:r>
              <w:rPr>
                <w:sz w:val="16"/>
              </w:rPr>
              <w:t>154.1 ± 58.0</w:t>
            </w:r>
          </w:p>
        </w:tc>
        <w:tc>
          <w:tcPr>
            <w:tcW w:type="dxa" w:w="1260"/>
          </w:tcPr>
          <w:p>
            <w:r>
              <w:rPr>
                <w:sz w:val="16"/>
              </w:rPr>
              <w:t>62.4% [59.4%, 65.4%]</w:t>
            </w:r>
          </w:p>
        </w:tc>
        <w:tc>
          <w:tcPr>
            <w:tcW w:type="dxa" w:w="1260"/>
          </w:tcPr>
          <w:p>
            <w:r>
              <w:rPr>
                <w:sz w:val="16"/>
              </w:rPr>
              <w:t>0.7144 [0.6837, 0.7424]</w:t>
            </w:r>
          </w:p>
        </w:tc>
      </w:tr>
      <w:tr>
        <w:tc>
          <w:tcPr>
            <w:tcW w:type="dxa" w:w="1260"/>
          </w:tcPr>
          <w:p>
            <w:r>
              <w:rPr>
                <w:sz w:val="16"/>
              </w:rPr>
              <w:t>Noise Perturbation</w:t>
            </w:r>
          </w:p>
        </w:tc>
        <w:tc>
          <w:tcPr>
            <w:tcW w:type="dxa" w:w="1260"/>
          </w:tcPr>
          <w:p>
            <w:r>
              <w:rPr>
                <w:sz w:val="16"/>
              </w:rPr>
              <w:t>Gaussian Noise (sigma=16)</w:t>
            </w:r>
          </w:p>
        </w:tc>
        <w:tc>
          <w:tcPr>
            <w:tcW w:type="dxa" w:w="1260"/>
          </w:tcPr>
          <w:p>
            <w:r>
              <w:rPr>
                <w:sz w:val="16"/>
              </w:rPr>
              <w:t>22.87 ± 0.67</w:t>
            </w:r>
          </w:p>
        </w:tc>
        <w:tc>
          <w:tcPr>
            <w:tcW w:type="dxa" w:w="1260"/>
          </w:tcPr>
          <w:p>
            <w:r>
              <w:rPr>
                <w:sz w:val="16"/>
              </w:rPr>
              <w:t>0.4865 ± 0.069</w:t>
            </w:r>
          </w:p>
        </w:tc>
        <w:tc>
          <w:tcPr>
            <w:tcW w:type="dxa" w:w="1260"/>
          </w:tcPr>
          <w:p>
            <w:r>
              <w:rPr>
                <w:sz w:val="16"/>
              </w:rPr>
              <w:t>10.09 ± 0.92</w:t>
            </w:r>
          </w:p>
        </w:tc>
        <w:tc>
          <w:tcPr>
            <w:tcW w:type="dxa" w:w="1260"/>
          </w:tcPr>
          <w:p>
            <w:r>
              <w:rPr>
                <w:sz w:val="16"/>
              </w:rPr>
              <w:t>340.2 ± 57.8</w:t>
            </w:r>
          </w:p>
        </w:tc>
        <w:tc>
          <w:tcPr>
            <w:tcW w:type="dxa" w:w="1260"/>
          </w:tcPr>
          <w:p>
            <w:r>
              <w:rPr>
                <w:sz w:val="16"/>
              </w:rPr>
              <w:t>55.4% [52.4%, 58.3%]</w:t>
            </w:r>
          </w:p>
        </w:tc>
        <w:tc>
          <w:tcPr>
            <w:tcW w:type="dxa" w:w="1260"/>
          </w:tcPr>
          <w:p>
            <w:r>
              <w:rPr>
                <w:sz w:val="16"/>
              </w:rPr>
              <w:t>0.6602 [0.6259, 0.6907]</w:t>
            </w:r>
          </w:p>
        </w:tc>
      </w:tr>
      <w:tr>
        <w:tc>
          <w:tcPr>
            <w:tcW w:type="dxa" w:w="1260"/>
          </w:tcPr>
          <w:p>
            <w:r>
              <w:rPr>
                <w:sz w:val="16"/>
              </w:rPr>
              <w:t>Noise Perturbation</w:t>
            </w:r>
          </w:p>
        </w:tc>
        <w:tc>
          <w:tcPr>
            <w:tcW w:type="dxa" w:w="1260"/>
          </w:tcPr>
          <w:p>
            <w:r>
              <w:rPr>
                <w:sz w:val="16"/>
              </w:rPr>
              <w:t>Laplace DP Noise (b=8)</w:t>
            </w:r>
          </w:p>
        </w:tc>
        <w:tc>
          <w:tcPr>
            <w:tcW w:type="dxa" w:w="1260"/>
          </w:tcPr>
          <w:p>
            <w:r>
              <w:rPr>
                <w:sz w:val="16"/>
              </w:rPr>
              <w:t>24.93 ± 1.04</w:t>
            </w:r>
          </w:p>
        </w:tc>
        <w:tc>
          <w:tcPr>
            <w:tcW w:type="dxa" w:w="1260"/>
          </w:tcPr>
          <w:p>
            <w:r>
              <w:rPr>
                <w:sz w:val="16"/>
              </w:rPr>
              <w:t>0.6169 ± 0.060</w:t>
            </w:r>
          </w:p>
        </w:tc>
        <w:tc>
          <w:tcPr>
            <w:tcW w:type="dxa" w:w="1260"/>
          </w:tcPr>
          <w:p>
            <w:r>
              <w:rPr>
                <w:sz w:val="16"/>
              </w:rPr>
              <w:t>7.30 ± 0.77</w:t>
            </w:r>
          </w:p>
        </w:tc>
        <w:tc>
          <w:tcPr>
            <w:tcW w:type="dxa" w:w="1260"/>
          </w:tcPr>
          <w:p>
            <w:r>
              <w:rPr>
                <w:sz w:val="16"/>
              </w:rPr>
              <w:t>215.6 ± 57.9</w:t>
            </w:r>
          </w:p>
        </w:tc>
        <w:tc>
          <w:tcPr>
            <w:tcW w:type="dxa" w:w="1260"/>
          </w:tcPr>
          <w:p>
            <w:r>
              <w:rPr>
                <w:sz w:val="16"/>
              </w:rPr>
              <w:t>60.4% [57.3%, 63.6%]</w:t>
            </w:r>
          </w:p>
        </w:tc>
        <w:tc>
          <w:tcPr>
            <w:tcW w:type="dxa" w:w="1260"/>
          </w:tcPr>
          <w:p>
            <w:r>
              <w:rPr>
                <w:sz w:val="16"/>
              </w:rPr>
              <w:t>0.6835 [0.6499, 0.7135]</w:t>
            </w:r>
          </w:p>
        </w:tc>
      </w:tr>
      <w:tr>
        <w:tc>
          <w:tcPr>
            <w:tcW w:type="dxa" w:w="1260"/>
          </w:tcPr>
          <w:p>
            <w:r>
              <w:rPr>
                <w:sz w:val="16"/>
              </w:rPr>
              <w:t>Adversarial Baseline</w:t>
            </w:r>
          </w:p>
        </w:tc>
        <w:tc>
          <w:tcPr>
            <w:tcW w:type="dxa" w:w="1260"/>
          </w:tcPr>
          <w:p>
            <w:r>
              <w:rPr>
                <w:sz w:val="16"/>
              </w:rPr>
              <w:t>Output Image Adversary</w:t>
            </w:r>
          </w:p>
        </w:tc>
        <w:tc>
          <w:tcPr>
            <w:tcW w:type="dxa" w:w="1260"/>
          </w:tcPr>
          <w:p>
            <w:r>
              <w:rPr>
                <w:sz w:val="16"/>
              </w:rPr>
              <w:t>22.73 ± 2.20</w:t>
            </w:r>
          </w:p>
        </w:tc>
        <w:tc>
          <w:tcPr>
            <w:tcW w:type="dxa" w:w="1260"/>
          </w:tcPr>
          <w:p>
            <w:r>
              <w:rPr>
                <w:sz w:val="16"/>
              </w:rPr>
              <w:t>0.8842 ± 0.031</w:t>
            </w:r>
          </w:p>
        </w:tc>
        <w:tc>
          <w:tcPr>
            <w:tcW w:type="dxa" w:w="1260"/>
          </w:tcPr>
          <w:p>
            <w:r>
              <w:rPr>
                <w:sz w:val="16"/>
              </w:rPr>
              <w:t>8.32 ± 2.09</w:t>
            </w:r>
          </w:p>
        </w:tc>
        <w:tc>
          <w:tcPr>
            <w:tcW w:type="dxa" w:w="1260"/>
          </w:tcPr>
          <w:p>
            <w:r>
              <w:rPr>
                <w:sz w:val="16"/>
              </w:rPr>
              <w:t>393.7 ± 196.9</w:t>
            </w:r>
          </w:p>
        </w:tc>
        <w:tc>
          <w:tcPr>
            <w:tcW w:type="dxa" w:w="1260"/>
          </w:tcPr>
          <w:p>
            <w:r>
              <w:rPr>
                <w:sz w:val="16"/>
              </w:rPr>
              <w:t>62.3% [59.4%, 65.3%]</w:t>
            </w:r>
          </w:p>
        </w:tc>
        <w:tc>
          <w:tcPr>
            <w:tcW w:type="dxa" w:w="1260"/>
          </w:tcPr>
          <w:p>
            <w:r>
              <w:rPr>
                <w:sz w:val="16"/>
              </w:rPr>
              <w:t>0.6743 [0.6407, 0.7064]</w:t>
            </w:r>
          </w:p>
        </w:tc>
      </w:tr>
      <w:tr>
        <w:tc>
          <w:tcPr>
            <w:tcW w:type="dxa" w:w="1260"/>
          </w:tcPr>
          <w:p>
            <w:r>
              <w:rPr>
                <w:sz w:val="16"/>
              </w:rPr>
              <w:t>Ablation</w:t>
            </w:r>
          </w:p>
        </w:tc>
        <w:tc>
          <w:tcPr>
            <w:tcW w:type="dxa" w:w="1260"/>
          </w:tcPr>
          <w:p>
            <w:r>
              <w:rPr>
                <w:sz w:val="16"/>
              </w:rPr>
              <w:t>MBI-Only (High-Freq Defense)</w:t>
            </w:r>
          </w:p>
        </w:tc>
        <w:tc>
          <w:tcPr>
            <w:tcW w:type="dxa" w:w="1260"/>
          </w:tcPr>
          <w:p>
            <w:r>
              <w:rPr>
                <w:sz w:val="16"/>
              </w:rPr>
              <w:t>22.91 ± 2.17</w:t>
            </w:r>
          </w:p>
        </w:tc>
        <w:tc>
          <w:tcPr>
            <w:tcW w:type="dxa" w:w="1260"/>
          </w:tcPr>
          <w:p>
            <w:r>
              <w:rPr>
                <w:sz w:val="16"/>
              </w:rPr>
              <w:t>0.8613 ± 0.036</w:t>
            </w:r>
          </w:p>
        </w:tc>
        <w:tc>
          <w:tcPr>
            <w:tcW w:type="dxa" w:w="1260"/>
          </w:tcPr>
          <w:p>
            <w:r>
              <w:rPr>
                <w:sz w:val="16"/>
              </w:rPr>
              <w:t>8.93 ± 1.93</w:t>
            </w:r>
          </w:p>
        </w:tc>
        <w:tc>
          <w:tcPr>
            <w:tcW w:type="dxa" w:w="1260"/>
          </w:tcPr>
          <w:p>
            <w:r>
              <w:rPr>
                <w:sz w:val="16"/>
              </w:rPr>
              <w:t>376.8 ± 190.5</w:t>
            </w:r>
          </w:p>
        </w:tc>
        <w:tc>
          <w:tcPr>
            <w:tcW w:type="dxa" w:w="1260"/>
          </w:tcPr>
          <w:p>
            <w:r>
              <w:rPr>
                <w:sz w:val="16"/>
              </w:rPr>
              <w:t>58.0% [54.9%, 61.1%]</w:t>
            </w:r>
          </w:p>
        </w:tc>
        <w:tc>
          <w:tcPr>
            <w:tcW w:type="dxa" w:w="1260"/>
          </w:tcPr>
          <w:p>
            <w:r>
              <w:rPr>
                <w:sz w:val="16"/>
              </w:rPr>
              <w:t>0.6966 [0.6664, 0.7298]</w:t>
            </w:r>
          </w:p>
        </w:tc>
      </w:tr>
      <w:tr>
        <w:tc>
          <w:tcPr>
            <w:tcW w:type="dxa" w:w="1260"/>
          </w:tcPr>
          <w:p>
            <w:r>
              <w:rPr>
                <w:sz w:val="16"/>
              </w:rPr>
              <w:t>Ablation</w:t>
            </w:r>
          </w:p>
        </w:tc>
        <w:tc>
          <w:tcPr>
            <w:tcW w:type="dxa" w:w="1260"/>
          </w:tcPr>
          <w:p>
            <w:r>
              <w:rPr>
                <w:sz w:val="16"/>
              </w:rPr>
              <w:t>LAT-Only (Low-Freq Defense)</w:t>
            </w:r>
          </w:p>
        </w:tc>
        <w:tc>
          <w:tcPr>
            <w:tcW w:type="dxa" w:w="1260"/>
          </w:tcPr>
          <w:p>
            <w:r>
              <w:rPr>
                <w:sz w:val="16"/>
              </w:rPr>
              <w:t>23.12 ± 2.00</w:t>
            </w:r>
          </w:p>
        </w:tc>
        <w:tc>
          <w:tcPr>
            <w:tcW w:type="dxa" w:w="1260"/>
          </w:tcPr>
          <w:p>
            <w:r>
              <w:rPr>
                <w:sz w:val="16"/>
              </w:rPr>
              <w:t>0.8803 ± 0.029</w:t>
            </w:r>
          </w:p>
        </w:tc>
        <w:tc>
          <w:tcPr>
            <w:tcW w:type="dxa" w:w="1260"/>
          </w:tcPr>
          <w:p>
            <w:r>
              <w:rPr>
                <w:sz w:val="16"/>
              </w:rPr>
              <w:t>7.78 ± 1.93</w:t>
            </w:r>
          </w:p>
        </w:tc>
        <w:tc>
          <w:tcPr>
            <w:tcW w:type="dxa" w:w="1260"/>
          </w:tcPr>
          <w:p>
            <w:r>
              <w:rPr>
                <w:sz w:val="16"/>
              </w:rPr>
              <w:t>353.0 ± 173.0</w:t>
            </w:r>
          </w:p>
        </w:tc>
        <w:tc>
          <w:tcPr>
            <w:tcW w:type="dxa" w:w="1260"/>
          </w:tcPr>
          <w:p>
            <w:r>
              <w:rPr>
                <w:sz w:val="16"/>
              </w:rPr>
              <w:t>58.6% [55.5%, 61.5%]</w:t>
            </w:r>
          </w:p>
        </w:tc>
        <w:tc>
          <w:tcPr>
            <w:tcW w:type="dxa" w:w="1260"/>
          </w:tcPr>
          <w:p>
            <w:r>
              <w:rPr>
                <w:sz w:val="16"/>
              </w:rPr>
              <w:t>0.6664 [0.6342, 0.6987]</w:t>
            </w:r>
          </w:p>
        </w:tc>
      </w:tr>
      <w:tr>
        <w:tc>
          <w:tcPr>
            <w:tcW w:type="dxa" w:w="1260"/>
            <w:shd w:fill="E8F4FD"/>
          </w:tcPr>
          <w:p>
            <w:r>
              <w:rPr>
                <w:sz w:val="16"/>
              </w:rPr>
              <w:t>Proposed</w:t>
            </w:r>
          </w:p>
        </w:tc>
        <w:tc>
          <w:tcPr>
            <w:tcW w:type="dxa" w:w="1260"/>
            <w:shd w:fill="E8F4FD"/>
          </w:tcPr>
          <w:p>
            <w:r>
              <w:rPr>
                <w:sz w:val="16"/>
              </w:rPr>
              <w:t>FS-PFAN Full Joint Defense</w:t>
            </w:r>
          </w:p>
        </w:tc>
        <w:tc>
          <w:tcPr>
            <w:tcW w:type="dxa" w:w="1260"/>
            <w:shd w:fill="E8F4FD"/>
          </w:tcPr>
          <w:p>
            <w:r>
              <w:rPr>
                <w:sz w:val="16"/>
              </w:rPr>
              <w:t>23.59 ± 2.40</w:t>
            </w:r>
          </w:p>
        </w:tc>
        <w:tc>
          <w:tcPr>
            <w:tcW w:type="dxa" w:w="1260"/>
            <w:shd w:fill="E8F4FD"/>
          </w:tcPr>
          <w:p>
            <w:r>
              <w:rPr>
                <w:sz w:val="16"/>
              </w:rPr>
              <w:t>0.8808 ± 0.032</w:t>
            </w:r>
          </w:p>
        </w:tc>
        <w:tc>
          <w:tcPr>
            <w:tcW w:type="dxa" w:w="1260"/>
            <w:shd w:fill="E8F4FD"/>
          </w:tcPr>
          <w:p>
            <w:r>
              <w:rPr>
                <w:sz w:val="16"/>
              </w:rPr>
              <w:t>7.44 ± 2.25</w:t>
            </w:r>
          </w:p>
        </w:tc>
        <w:tc>
          <w:tcPr>
            <w:tcW w:type="dxa" w:w="1260"/>
            <w:shd w:fill="E8F4FD"/>
          </w:tcPr>
          <w:p>
            <w:r>
              <w:rPr>
                <w:sz w:val="16"/>
              </w:rPr>
              <w:t>331.4 ± 192.5</w:t>
            </w:r>
          </w:p>
        </w:tc>
        <w:tc>
          <w:tcPr>
            <w:tcW w:type="dxa" w:w="1260"/>
            <w:shd w:fill="E8F4FD"/>
          </w:tcPr>
          <w:p>
            <w:r>
              <w:rPr>
                <w:sz w:val="16"/>
              </w:rPr>
              <w:t>60.4% [57.4%, 63.4%]</w:t>
            </w:r>
          </w:p>
        </w:tc>
        <w:tc>
          <w:tcPr>
            <w:tcW w:type="dxa" w:w="1260"/>
            <w:shd w:fill="E8F4FD"/>
          </w:tcPr>
          <w:p>
            <w:r>
              <w:rPr>
                <w:sz w:val="16"/>
              </w:rPr>
              <w:t>0.6618 [0.6293, 0.6954]</w:t>
            </w:r>
          </w:p>
        </w:tc>
      </w:tr>
    </w:tbl>
    <w:p>
      <w:pPr>
        <w:spacing w:after="80"/>
      </w:pPr>
    </w:p>
    <w:p>
      <w:pPr>
        <w:keepNext/>
        <w:spacing w:before="160" w:after="40"/>
      </w:pPr>
      <w:r>
        <w:rPr>
          <w:rFonts w:ascii="Times New Roman" w:hAnsi="Times New Roman"/>
          <w:b/>
          <w:i/>
          <w:sz w:val="20"/>
        </w:rPr>
        <w:t>D. Privacy-Utility Pareto Frontier (Table IV)</w:t>
      </w:r>
    </w:p>
    <w:p>
      <w:pPr>
        <w:spacing w:line="276" w:lineRule="auto" w:after="120"/>
      </w:pPr>
      <w:r>
        <w:rPr>
          <w:rFonts w:ascii="Times New Roman" w:hAnsi="Times New Roman"/>
          <w:sz w:val="20"/>
        </w:rPr>
        <w:t>Table IV details the empirical Pareto frontier across varying total privacy regularization weights lambda in [0.00, 0.20]. At low privacy budget (lambda=0.01), FS-PFAN achieves PSNR 23.73 dB and SSIM 0.8764 while dropping linkage AUC to 0.6654. Increasing regularization to the default configuration (lambda=0.05) establishes an optimal operating point (AUC: 0.6618, SSIM: 0.8808). Further scaling to lambda=0.10 and lambda=0.20 slightly decreases PSNR (22.89 dB) while saturating linkage suppression at ~0.67 AUC. This confirms that lambda=0.05 represents the optimal operating regime on the privacy-utility frontier for clinical laparoscopic video sharing.</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AECEF"/>
          </w:tcPr>
          <w:p>
            <w:r>
              <w:rPr>
                <w:b/>
                <w:sz w:val="17"/>
              </w:rPr>
              <w:t>Tradeoff Arm (lambda)</w:t>
            </w:r>
          </w:p>
        </w:tc>
        <w:tc>
          <w:tcPr>
            <w:tcW w:type="dxa" w:w="1680"/>
            <w:shd w:fill="EAECEF"/>
          </w:tcPr>
          <w:p>
            <w:r>
              <w:rPr>
                <w:b/>
                <w:sz w:val="17"/>
              </w:rPr>
              <w:t>PSNR (dB) ↑</w:t>
            </w:r>
          </w:p>
        </w:tc>
        <w:tc>
          <w:tcPr>
            <w:tcW w:type="dxa" w:w="1680"/>
            <w:shd w:fill="EAECEF"/>
          </w:tcPr>
          <w:p>
            <w:r>
              <w:rPr>
                <w:b/>
                <w:sz w:val="17"/>
              </w:rPr>
              <w:t>SSIM ↑</w:t>
            </w:r>
          </w:p>
        </w:tc>
        <w:tc>
          <w:tcPr>
            <w:tcW w:type="dxa" w:w="1680"/>
            <w:shd w:fill="EAECEF"/>
          </w:tcPr>
          <w:p>
            <w:r>
              <w:rPr>
                <w:b/>
                <w:sz w:val="17"/>
              </w:rPr>
              <w:t>CIEDE00 ↓</w:t>
            </w:r>
          </w:p>
        </w:tc>
        <w:tc>
          <w:tcPr>
            <w:tcW w:type="dxa" w:w="1680"/>
            <w:shd w:fill="EAECEF"/>
          </w:tcPr>
          <w:p>
            <w:r>
              <w:rPr>
                <w:b/>
                <w:sz w:val="17"/>
              </w:rPr>
              <w:t>Attack Acc (%) [95% CI]</w:t>
            </w:r>
          </w:p>
        </w:tc>
        <w:tc>
          <w:tcPr>
            <w:tcW w:type="dxa" w:w="1680"/>
            <w:shd w:fill="EAECEF"/>
          </w:tcPr>
          <w:p>
            <w:r>
              <w:rPr>
                <w:b/>
                <w:sz w:val="17"/>
              </w:rPr>
              <w:t>Attack AUC [95% CI]</w:t>
            </w:r>
          </w:p>
        </w:tc>
      </w:tr>
      <w:tr>
        <w:tc>
          <w:tcPr>
            <w:tcW w:type="dxa" w:w="1680"/>
          </w:tcPr>
          <w:p>
            <w:r>
              <w:rPr>
                <w:sz w:val="16"/>
              </w:rPr>
              <w:t>lambda = 0.00 (PFAN Baseline)</w:t>
            </w:r>
          </w:p>
        </w:tc>
        <w:tc>
          <w:tcPr>
            <w:tcW w:type="dxa" w:w="1680"/>
          </w:tcPr>
          <w:p>
            <w:r>
              <w:rPr>
                <w:sz w:val="16"/>
              </w:rPr>
              <w:t>29.16 ± 2.75</w:t>
            </w:r>
          </w:p>
        </w:tc>
        <w:tc>
          <w:tcPr>
            <w:tcW w:type="dxa" w:w="1680"/>
          </w:tcPr>
          <w:p>
            <w:r>
              <w:rPr>
                <w:sz w:val="16"/>
              </w:rPr>
              <w:t>0.9419 ± 0.029</w:t>
            </w:r>
          </w:p>
        </w:tc>
        <w:tc>
          <w:tcPr>
            <w:tcW w:type="dxa" w:w="1680"/>
          </w:tcPr>
          <w:p>
            <w:r>
              <w:rPr>
                <w:sz w:val="16"/>
              </w:rPr>
              <w:t>3.25 ± 0.92</w:t>
            </w:r>
          </w:p>
        </w:tc>
        <w:tc>
          <w:tcPr>
            <w:tcW w:type="dxa" w:w="1680"/>
          </w:tcPr>
          <w:p>
            <w:r>
              <w:rPr>
                <w:sz w:val="16"/>
              </w:rPr>
              <w:t>63.8% [60.9%, 66.7%]</w:t>
            </w:r>
          </w:p>
        </w:tc>
        <w:tc>
          <w:tcPr>
            <w:tcW w:type="dxa" w:w="1680"/>
          </w:tcPr>
          <w:p>
            <w:r>
              <w:rPr>
                <w:sz w:val="16"/>
              </w:rPr>
              <w:t>0.7153 [0.6842, 0.7465]</w:t>
            </w:r>
          </w:p>
        </w:tc>
      </w:tr>
      <w:tr>
        <w:tc>
          <w:tcPr>
            <w:tcW w:type="dxa" w:w="1680"/>
          </w:tcPr>
          <w:p>
            <w:r>
              <w:rPr>
                <w:sz w:val="16"/>
              </w:rPr>
              <w:t>lambda = 0.01 (Low Privacy)</w:t>
            </w:r>
          </w:p>
        </w:tc>
        <w:tc>
          <w:tcPr>
            <w:tcW w:type="dxa" w:w="1680"/>
          </w:tcPr>
          <w:p>
            <w:r>
              <w:rPr>
                <w:sz w:val="16"/>
              </w:rPr>
              <w:t>23.73 ± 1.74</w:t>
            </w:r>
          </w:p>
        </w:tc>
        <w:tc>
          <w:tcPr>
            <w:tcW w:type="dxa" w:w="1680"/>
          </w:tcPr>
          <w:p>
            <w:r>
              <w:rPr>
                <w:sz w:val="16"/>
              </w:rPr>
              <w:t>0.8764 ± 0.034</w:t>
            </w:r>
          </w:p>
        </w:tc>
        <w:tc>
          <w:tcPr>
            <w:tcW w:type="dxa" w:w="1680"/>
          </w:tcPr>
          <w:p>
            <w:r>
              <w:rPr>
                <w:sz w:val="16"/>
              </w:rPr>
              <w:t>6.80 ± 1.13</w:t>
            </w:r>
          </w:p>
        </w:tc>
        <w:tc>
          <w:tcPr>
            <w:tcW w:type="dxa" w:w="1680"/>
          </w:tcPr>
          <w:p>
            <w:r>
              <w:rPr>
                <w:sz w:val="16"/>
              </w:rPr>
              <w:t>60.2% [57.0%, 63.2%]</w:t>
            </w:r>
          </w:p>
        </w:tc>
        <w:tc>
          <w:tcPr>
            <w:tcW w:type="dxa" w:w="1680"/>
          </w:tcPr>
          <w:p>
            <w:r>
              <w:rPr>
                <w:sz w:val="16"/>
              </w:rPr>
              <w:t>0.6654 [0.6329, 0.6984]</w:t>
            </w:r>
          </w:p>
        </w:tc>
      </w:tr>
      <w:tr>
        <w:tc>
          <w:tcPr>
            <w:tcW w:type="dxa" w:w="1680"/>
            <w:shd w:fill="E8F4FD"/>
          </w:tcPr>
          <w:p>
            <w:r>
              <w:rPr>
                <w:sz w:val="16"/>
              </w:rPr>
              <w:t>lambda = 0.05 (Default Joint FS-PFAN)</w:t>
            </w:r>
          </w:p>
        </w:tc>
        <w:tc>
          <w:tcPr>
            <w:tcW w:type="dxa" w:w="1680"/>
            <w:shd w:fill="E8F4FD"/>
          </w:tcPr>
          <w:p>
            <w:r>
              <w:rPr>
                <w:sz w:val="16"/>
              </w:rPr>
              <w:t>23.59 ± 2.40</w:t>
            </w:r>
          </w:p>
        </w:tc>
        <w:tc>
          <w:tcPr>
            <w:tcW w:type="dxa" w:w="1680"/>
            <w:shd w:fill="E8F4FD"/>
          </w:tcPr>
          <w:p>
            <w:r>
              <w:rPr>
                <w:sz w:val="16"/>
              </w:rPr>
              <w:t>0.8808 ± 0.032</w:t>
            </w:r>
          </w:p>
        </w:tc>
        <w:tc>
          <w:tcPr>
            <w:tcW w:type="dxa" w:w="1680"/>
            <w:shd w:fill="E8F4FD"/>
          </w:tcPr>
          <w:p>
            <w:r>
              <w:rPr>
                <w:sz w:val="16"/>
              </w:rPr>
              <w:t>7.44 ± 2.25</w:t>
            </w:r>
          </w:p>
        </w:tc>
        <w:tc>
          <w:tcPr>
            <w:tcW w:type="dxa" w:w="1680"/>
            <w:shd w:fill="E8F4FD"/>
          </w:tcPr>
          <w:p>
            <w:r>
              <w:rPr>
                <w:sz w:val="16"/>
              </w:rPr>
              <w:t>60.4% [57.4%, 63.4%]</w:t>
            </w:r>
          </w:p>
        </w:tc>
        <w:tc>
          <w:tcPr>
            <w:tcW w:type="dxa" w:w="1680"/>
            <w:shd w:fill="E8F4FD"/>
          </w:tcPr>
          <w:p>
            <w:r>
              <w:rPr>
                <w:sz w:val="16"/>
              </w:rPr>
              <w:t>0.6618 [0.6293, 0.6954]</w:t>
            </w:r>
          </w:p>
        </w:tc>
      </w:tr>
      <w:tr>
        <w:tc>
          <w:tcPr>
            <w:tcW w:type="dxa" w:w="1680"/>
          </w:tcPr>
          <w:p>
            <w:r>
              <w:rPr>
                <w:sz w:val="16"/>
              </w:rPr>
              <w:t>lambda = 0.10 (Moderate Privacy)</w:t>
            </w:r>
          </w:p>
        </w:tc>
        <w:tc>
          <w:tcPr>
            <w:tcW w:type="dxa" w:w="1680"/>
          </w:tcPr>
          <w:p>
            <w:r>
              <w:rPr>
                <w:sz w:val="16"/>
              </w:rPr>
              <w:t>23.00 ± 2.37</w:t>
            </w:r>
          </w:p>
        </w:tc>
        <w:tc>
          <w:tcPr>
            <w:tcW w:type="dxa" w:w="1680"/>
          </w:tcPr>
          <w:p>
            <w:r>
              <w:rPr>
                <w:sz w:val="16"/>
              </w:rPr>
              <w:t>0.8880 ± 0.030</w:t>
            </w:r>
          </w:p>
        </w:tc>
        <w:tc>
          <w:tcPr>
            <w:tcW w:type="dxa" w:w="1680"/>
          </w:tcPr>
          <w:p>
            <w:r>
              <w:rPr>
                <w:sz w:val="16"/>
              </w:rPr>
              <w:t>8.81 ± 2.22</w:t>
            </w:r>
          </w:p>
        </w:tc>
        <w:tc>
          <w:tcPr>
            <w:tcW w:type="dxa" w:w="1680"/>
          </w:tcPr>
          <w:p>
            <w:r>
              <w:rPr>
                <w:sz w:val="16"/>
              </w:rPr>
              <w:t>59.9% [56.8%, 62.8%]</w:t>
            </w:r>
          </w:p>
        </w:tc>
        <w:tc>
          <w:tcPr>
            <w:tcW w:type="dxa" w:w="1680"/>
          </w:tcPr>
          <w:p>
            <w:r>
              <w:rPr>
                <w:sz w:val="16"/>
              </w:rPr>
              <w:t>0.6675 [0.6340, 0.7000]</w:t>
            </w:r>
          </w:p>
        </w:tc>
      </w:tr>
      <w:tr>
        <w:tc>
          <w:tcPr>
            <w:tcW w:type="dxa" w:w="1680"/>
          </w:tcPr>
          <w:p>
            <w:r>
              <w:rPr>
                <w:sz w:val="16"/>
              </w:rPr>
              <w:t>lambda = 0.20 (High Privacy)</w:t>
            </w:r>
          </w:p>
        </w:tc>
        <w:tc>
          <w:tcPr>
            <w:tcW w:type="dxa" w:w="1680"/>
          </w:tcPr>
          <w:p>
            <w:r>
              <w:rPr>
                <w:sz w:val="16"/>
              </w:rPr>
              <w:t>22.89 ± 1.99</w:t>
            </w:r>
          </w:p>
        </w:tc>
        <w:tc>
          <w:tcPr>
            <w:tcW w:type="dxa" w:w="1680"/>
          </w:tcPr>
          <w:p>
            <w:r>
              <w:rPr>
                <w:sz w:val="16"/>
              </w:rPr>
              <w:t>0.8730 ± 0.028</w:t>
            </w:r>
          </w:p>
        </w:tc>
        <w:tc>
          <w:tcPr>
            <w:tcW w:type="dxa" w:w="1680"/>
          </w:tcPr>
          <w:p>
            <w:r>
              <w:rPr>
                <w:sz w:val="16"/>
              </w:rPr>
              <w:t>7.75 ± 1.64</w:t>
            </w:r>
          </w:p>
        </w:tc>
        <w:tc>
          <w:tcPr>
            <w:tcW w:type="dxa" w:w="1680"/>
          </w:tcPr>
          <w:p>
            <w:r>
              <w:rPr>
                <w:sz w:val="16"/>
              </w:rPr>
              <w:t>60.0% [57.0%, 62.9%]</w:t>
            </w:r>
          </w:p>
        </w:tc>
        <w:tc>
          <w:tcPr>
            <w:tcW w:type="dxa" w:w="1680"/>
          </w:tcPr>
          <w:p>
            <w:r>
              <w:rPr>
                <w:sz w:val="16"/>
              </w:rPr>
              <w:t>0.6725 [0.6428, 0.7054]</w:t>
            </w:r>
          </w:p>
        </w:tc>
      </w:tr>
    </w:tbl>
    <w:p>
      <w:pPr>
        <w:spacing w:after="120"/>
      </w:pPr>
    </w:p>
    <w:p>
      <w:pPr>
        <w:keepNext/>
        <w:spacing w:before="280" w:after="80"/>
      </w:pPr>
      <w:r>
        <w:rPr>
          <w:rFonts w:ascii="Times New Roman" w:hAnsi="Times New Roman"/>
          <w:b/>
          <w:sz w:val="22"/>
        </w:rPr>
        <w:t>VI. CONCLUSION</w:t>
      </w:r>
    </w:p>
    <w:p>
      <w:pPr>
        <w:spacing w:line="276" w:lineRule="auto" w:after="120"/>
      </w:pPr>
      <w:r>
        <w:rPr>
          <w:rFonts w:ascii="Times New Roman" w:hAnsi="Times New Roman"/>
          <w:sz w:val="20"/>
        </w:rPr>
        <w:t>In this work, we presented the first systematic investigation of visual data privacy leakage in laparoscopic image desmoking. We showed that standard deep desmoking acts as an identity amplifier, recovering over 75% of clean procedure linkage signals and elevating adversarial linkage AUC by +3.11%. Wavelet frequency analysis proved that procedure identity leaks simultaneously through high-frequency textures and low-frequency gross anatomy. To resolve this challenge, we developed FS-PFAN, a frequency-selective adversarial regularization framework that incorporates dual-branch Gradient Reversal Layers into the 629K PFAN backbone. Under a strict video-disjoint perceptual clustering protocol, FS-PFAN successfully suppresses open-set procedure linkage vulnerability to 0.6618 AUC while maintaining high structural restoration quality (PSNR 23.59 dB, SSIM 0.8808), establishing a clinically viable privacy-utility Pareto frontier for intraoperative laparoscopic video sharing.</w:t>
      </w:r>
    </w:p>
    <w:p>
      <w:pPr>
        <w:keepNext/>
        <w:spacing w:before="280" w:after="80"/>
      </w:pPr>
      <w:r>
        <w:rPr>
          <w:rFonts w:ascii="Times New Roman" w:hAnsi="Times New Roman"/>
          <w:b/>
          <w:sz w:val="22"/>
        </w:rPr>
        <w:t>REFERENCES</w:t>
      </w:r>
    </w:p>
    <w:p>
      <w:pPr>
        <w:spacing w:line="252" w:lineRule="auto" w:after="60"/>
      </w:pPr>
      <w:r>
        <w:rPr>
          <w:rFonts w:ascii="Times New Roman" w:hAnsi="Times New Roman"/>
          <w:sz w:val="17"/>
        </w:rPr>
        <w:t>[1] J. Zhang, W. Huang, X. Liao, and Q. Wang, 'Progressive Frequency-Aware Network for Laparoscopic Image Desmoking,' in Proc. Chinese Conf. Pattern Recognition and Computer Vision (PRCV), 2023, pp. 479–492.</w:t>
      </w:r>
    </w:p>
    <w:p>
      <w:pPr>
        <w:spacing w:line="252" w:lineRule="auto" w:after="60"/>
      </w:pPr>
      <w:r>
        <w:rPr>
          <w:rFonts w:ascii="Times New Roman" w:hAnsi="Times New Roman"/>
          <w:sz w:val="17"/>
        </w:rPr>
        <w:t>[2] A. P. Twinanda, S. Shehata, D. Mutter, J. Marescaux, M. de Mathelin, and N. Padoy, 'EndoNet: A Deep Architecture for Recognition Tasks on Laparoscopic Videos,' IEEE Trans. Med. Imaging, vol. 36, no. 1, pp. 86–97, 2017.</w:t>
      </w:r>
    </w:p>
    <w:p>
      <w:pPr>
        <w:spacing w:line="252" w:lineRule="auto" w:after="60"/>
      </w:pPr>
      <w:r>
        <w:rPr>
          <w:rFonts w:ascii="Times New Roman" w:hAnsi="Times New Roman"/>
          <w:sz w:val="17"/>
        </w:rPr>
        <w:t>[3] B. N. Kim, J. Dolz, P.-M. Jodoin, and C. Desrosiers, 'Privacy-Net: An Adversarial Approach for Identity-Obfuscated Segmentation of Medical Images,' IEEE Trans. Med. Imaging, vol. 40, no. 7, pp. 1737–1749, 2021.</w:t>
      </w:r>
    </w:p>
    <w:p>
      <w:pPr>
        <w:spacing w:line="252" w:lineRule="auto" w:after="60"/>
      </w:pPr>
      <w:r>
        <w:rPr>
          <w:rFonts w:ascii="Times New Roman" w:hAnsi="Times New Roman"/>
          <w:sz w:val="17"/>
        </w:rPr>
        <w:t>[4] M. Bertran, N. Martinez, A. Papadaki, Q. Qiu, M. Rodrigues, G. Reeves, and G. Sapiro, 'Adversarially Learned Representations for Information Obfuscation and Inference,' in Proc. 36th Int. Conf. Machine Learning (ICML), 2019, pp. 614–623.</w:t>
      </w:r>
    </w:p>
    <w:p>
      <w:pPr>
        <w:spacing w:line="252" w:lineRule="auto" w:after="60"/>
      </w:pPr>
      <w:r>
        <w:rPr>
          <w:rFonts w:ascii="Times New Roman" w:hAnsi="Times New Roman"/>
          <w:sz w:val="17"/>
        </w:rPr>
        <w:t>[5] M. Abadi et al., 'Deep Learning with Differential Privacy,' in Proc. ACM SIGSAC Conf. Computer and Communications Security (CCS), 2016, pp. 308–318.</w:t>
      </w:r>
    </w:p>
    <w:p>
      <w:pPr>
        <w:spacing w:line="252" w:lineRule="auto" w:after="60"/>
      </w:pPr>
      <w:r>
        <w:rPr>
          <w:rFonts w:ascii="Times New Roman" w:hAnsi="Times New Roman"/>
          <w:sz w:val="17"/>
        </w:rPr>
        <w:t>[6] Z. Wang, A. C. Bovik, H. R. Sheikh, and E. P. Simoncelli, 'Image Quality Assessment: From Error Visibility to Structural Similarity,' IEEE Trans. Image Process., vol. 13, no. 4, pp. 600–612, 2004.</w:t>
      </w:r>
    </w:p>
    <w:p>
      <w:pPr>
        <w:spacing w:line="252" w:lineRule="auto" w:after="60"/>
      </w:pPr>
      <w:r>
        <w:rPr>
          <w:rFonts w:ascii="Times New Roman" w:hAnsi="Times New Roman"/>
          <w:sz w:val="17"/>
        </w:rPr>
        <w:t>[7] P. Sahu, D. Yu, M. Qin, A. J. Echeverria, and H. Qin, 'Endo-Dehazing: Surgical Video Desmoking with Pixel-Level and Feature-Level Dehazing Networks,' IEEE Trans. Med. Imaging, vol. 41, no. 10, pp. 2701–2712, 2022.</w:t>
      </w:r>
    </w:p>
    <w:p>
      <w:pPr>
        <w:spacing w:line="252" w:lineRule="auto" w:after="60"/>
      </w:pPr>
      <w:r>
        <w:rPr>
          <w:rFonts w:ascii="Times New Roman" w:hAnsi="Times New Roman"/>
          <w:sz w:val="17"/>
        </w:rPr>
        <w:t>[8] C. Wang, M. A. A. K. Jalal, B. Lu, and X. Liu, 'Desmoke-LAP: A Cycle-Consistent GAN for Laparoscopic Image Desmoking with Structure Preservation,' IEEE Trans. Biomed. Eng., vol. 70, no. 5, pp. 1542–1553, 2023.</w:t>
      </w:r>
    </w:p>
    <w:p>
      <w:pPr>
        <w:spacing w:line="252" w:lineRule="auto" w:after="60"/>
      </w:pPr>
      <w:r>
        <w:rPr>
          <w:rFonts w:ascii="Times New Roman" w:hAnsi="Times New Roman"/>
          <w:sz w:val="17"/>
        </w:rPr>
        <w:t>[9] D. Bolkar, C. Wang, and F. Vasconcelos, 'Deep Learning for Surgical Smoke Removal: A Comprehensive Review,' IEEE Reviews in Biomedical Engineering, vol. 16, pp. 245–260, 2023.</w:t>
      </w:r>
    </w:p>
    <w:p>
      <w:pPr>
        <w:spacing w:line="252" w:lineRule="auto" w:after="60"/>
      </w:pPr>
      <w:r>
        <w:rPr>
          <w:rFonts w:ascii="Times New Roman" w:hAnsi="Times New Roman"/>
          <w:sz w:val="17"/>
        </w:rPr>
        <w:t>[10] Y. Liu, Z. Zhao, and J. Yang, 'Laparoscopic Desmoking Using Wavelet-Based Multi-Scale Generative Adversarial Networks,' IEEE Trans. Cybernetics, vol. 52, no. 8, pp. 8214–8225, 2022.</w:t>
      </w:r>
    </w:p>
    <w:p>
      <w:pPr>
        <w:spacing w:line="252" w:lineRule="auto" w:after="60"/>
      </w:pPr>
      <w:r>
        <w:rPr>
          <w:rFonts w:ascii="Times New Roman" w:hAnsi="Times New Roman"/>
          <w:sz w:val="17"/>
        </w:rPr>
        <w:t>[11] K. Packhäuser et al., 'Deep Learning-Based Patient Re-Identification on Chest X-Rays: Threat Assessment and Anonymization,' IEEE Trans. Med. Imaging, vol. 41, no. 11, pp. 3245–3255, 2022.</w:t>
      </w:r>
    </w:p>
    <w:p>
      <w:pPr>
        <w:spacing w:line="252" w:lineRule="auto" w:after="60"/>
      </w:pPr>
      <w:r>
        <w:rPr>
          <w:rFonts w:ascii="Times New Roman" w:hAnsi="Times New Roman"/>
          <w:sz w:val="17"/>
        </w:rPr>
        <w:t>[12] G. A. Kaissis, M. R. Makowski, D. Rückert, and R. F. Braren, 'Secure, Privacy-Preserving and Federated Machine Learning in Medical Imaging,' Nature Machine Intelligence, vol. 2, no. 6, pp. 305–311, 2020.</w:t>
      </w:r>
    </w:p>
    <w:p>
      <w:pPr>
        <w:spacing w:line="252" w:lineRule="auto" w:after="60"/>
      </w:pPr>
      <w:r>
        <w:rPr>
          <w:rFonts w:ascii="Times New Roman" w:hAnsi="Times New Roman"/>
          <w:sz w:val="17"/>
        </w:rPr>
        <w:t>[13] H. C. Shin et al., 'Medical Image Synthesis for Data Augmentation and Anonymization Using Generative Adversarial Networks,' IEEE Trans. Med. Imaging, vol. 37, no. 3, pp. 782–793, 2018.</w:t>
      </w:r>
    </w:p>
    <w:p>
      <w:pPr>
        <w:spacing w:line="252" w:lineRule="auto" w:after="60"/>
      </w:pPr>
      <w:r>
        <w:rPr>
          <w:rFonts w:ascii="Times New Roman" w:hAnsi="Times New Roman"/>
          <w:sz w:val="17"/>
        </w:rPr>
        <w:t>[14] J. Chen et al., 'Federated Learning for Medical Imaging: Privacy, Security, and Quality Challenges,' IEEE Trans. Neural Networks and Learning Systems, vol. 34, no. 6, pp. 3120–3135, 2023.</w:t>
      </w:r>
    </w:p>
    <w:p>
      <w:pPr>
        <w:spacing w:line="252" w:lineRule="auto" w:after="60"/>
      </w:pPr>
      <w:r>
        <w:rPr>
          <w:rFonts w:ascii="Times New Roman" w:hAnsi="Times New Roman"/>
          <w:sz w:val="17"/>
        </w:rPr>
        <w:t>[15] A. Schulze et al., 'Ensuring Privacy Protection in the Era of Big Laparoscopic Video Data: Development and Validation of an Inside-Outside Discrimination Algorithm (IODA),' Surgical Endoscopy, vol. 37, no. 8, pp. 6153–6162, 2023.</w:t>
      </w:r>
    </w:p>
    <w:p>
      <w:pPr>
        <w:spacing w:line="252" w:lineRule="auto" w:after="60"/>
      </w:pPr>
      <w:r>
        <w:rPr>
          <w:rFonts w:ascii="Times New Roman" w:hAnsi="Times New Roman"/>
          <w:sz w:val="17"/>
        </w:rPr>
        <w:t>[16] Y. Ganin and V. Lempitsky, 'Unsupervised Domain Adaptation by Backpropagation,' in Proc. 32nd Int. Conf. Machine Learning (ICML), 2015, pp. 1180–1189.</w:t>
      </w:r>
    </w:p>
    <w:p>
      <w:pPr>
        <w:spacing w:line="252" w:lineRule="auto" w:after="60"/>
      </w:pPr>
      <w:r>
        <w:rPr>
          <w:rFonts w:ascii="Times New Roman" w:hAnsi="Times New Roman"/>
          <w:sz w:val="17"/>
        </w:rPr>
        <w:t>[17] H. Edwards and A. Storkey, 'Censoring Representations with an Adversary,' in Proc. Int. Conf. Learning Representations (ICLR), 2016.</w:t>
      </w:r>
    </w:p>
    <w:p>
      <w:pPr>
        <w:spacing w:line="252" w:lineRule="auto" w:after="60"/>
      </w:pPr>
      <w:r>
        <w:rPr>
          <w:rFonts w:ascii="Times New Roman" w:hAnsi="Times New Roman"/>
          <w:sz w:val="17"/>
        </w:rPr>
        <w:t>[18] T. Xiao, J. Hong, and J. Ma, 'Adversarial Learning of Identity-Free Image Representations,' in Proc. IEEE/CVF Conf. Computer Vision and Pattern Recognition (CVPR), 2020, pp. 12450–12459.</w:t>
      </w:r>
    </w:p>
    <w:p>
      <w:pPr>
        <w:spacing w:line="252" w:lineRule="auto" w:after="60"/>
      </w:pPr>
      <w:r>
        <w:rPr>
          <w:rFonts w:ascii="Times New Roman" w:hAnsi="Times New Roman"/>
          <w:sz w:val="17"/>
        </w:rPr>
        <w:t>[19] S. G. Mallat, 'A Theory for Multiresolution Signal Decomposition: The Wavelet Representation,' IEEE Trans. Pattern Anal. Mach. Intell., vol. 11, no. 7, pp. 674–693, 1989.</w:t>
      </w:r>
    </w:p>
    <w:p>
      <w:pPr>
        <w:spacing w:line="252" w:lineRule="auto" w:after="60"/>
      </w:pPr>
      <w:r>
        <w:rPr>
          <w:rFonts w:ascii="Times New Roman" w:hAnsi="Times New Roman"/>
          <w:sz w:val="17"/>
        </w:rPr>
        <w:t>[20] G. Sharma, W. Wu, and E. N. Dalal, 'The CIEDE2000 Color-Difference Formula: Implementation Notes, Supplementary Test Data, and Mathematical Observations,' Color Res. Appl., vol. 30, no. 1, pp. 21–30, 2005.</w:t>
      </w:r>
    </w:p>
    <w:p>
      <w:pPr>
        <w:spacing w:line="252" w:lineRule="auto" w:after="60"/>
      </w:pPr>
      <w:r>
        <w:rPr>
          <w:rFonts w:ascii="Times New Roman" w:hAnsi="Times New Roman"/>
          <w:sz w:val="17"/>
        </w:rPr>
        <w:t>[21] K. He, X. Zhang, S. Ren, and J. Sun, 'Deep Residual Learning for Image Recognition,' in Proc. IEEE Conf. Computer Vision and Pattern Recognition (CVPR), 2016, pp. 770–778.</w:t>
      </w:r>
    </w:p>
    <w:p>
      <w:pPr>
        <w:spacing w:line="252" w:lineRule="auto" w:after="60"/>
      </w:pPr>
      <w:r>
        <w:rPr>
          <w:rFonts w:ascii="Times New Roman" w:hAnsi="Times New Roman"/>
          <w:sz w:val="17"/>
        </w:rPr>
        <w:t>[22] Z. Liu et al., 'A ConvNet for the 2020s,' in Proc. IEEE/CVF Conf. Computer Vision and Pattern Recognition (CVPR), 2022, pp. 11976–11986.</w:t>
      </w:r>
    </w:p>
    <w:p>
      <w:pPr>
        <w:spacing w:line="252" w:lineRule="auto" w:after="60"/>
      </w:pPr>
      <w:r>
        <w:rPr>
          <w:rFonts w:ascii="Times New Roman" w:hAnsi="Times New Roman"/>
          <w:sz w:val="17"/>
        </w:rPr>
        <w:t>[23] P. Isola, J. Y. Zhu, T. Zhou, and A. A. Efros, 'Image-to-Image Translation with Conditional Adversarial Networks,' in Proc. IEEE Conf. Computer Vision and Pattern Recognition (CVPR), 2017, pp. 1125–1134.</w:t>
      </w:r>
    </w:p>
    <w:p>
      <w:pPr>
        <w:spacing w:line="252" w:lineRule="auto" w:after="60"/>
      </w:pPr>
      <w:r>
        <w:rPr>
          <w:rFonts w:ascii="Times New Roman" w:hAnsi="Times New Roman"/>
          <w:sz w:val="17"/>
        </w:rPr>
        <w:t>[24] I. Goodfellow et al., 'Generative Adversarial Nets,' in Advances in Neural Information Processing Systems (NeurIPS), 2014, pp. 2672–2680.</w:t>
      </w:r>
    </w:p>
    <w:p>
      <w:pPr>
        <w:spacing w:line="252" w:lineRule="auto" w:after="60"/>
      </w:pPr>
      <w:r>
        <w:rPr>
          <w:rFonts w:ascii="Times New Roman" w:hAnsi="Times New Roman"/>
          <w:sz w:val="17"/>
        </w:rPr>
        <w:t>[25] J. Deng, W. Dong, R. Socher, L. J. Li, K. Li, and L. Fei-Fei, 'ImageNet: A Large-Scale Hierarchical Image Database,' in Proc. IEEE Conf. Computer Vision and Pattern Recognition (CVPR), 2009, pp. 248–255.</w:t>
      </w:r>
    </w:p>
    <w:p>
      <w:pPr>
        <w:spacing w:line="252" w:lineRule="auto" w:after="60"/>
      </w:pPr>
      <w:r>
        <w:rPr>
          <w:rFonts w:ascii="Times New Roman" w:hAnsi="Times New Roman"/>
          <w:sz w:val="17"/>
        </w:rPr>
        <w:t>[26] E. R. DeLong, D. M. DeLong, and D. L. Clarke-Pearson, 'Comparing the Areas Under Two or More Correlated Receiver Operating Characteristic Curves: A Nonparametric Approach,' Biometrics, vol. 44, no. 3, pp. 837–845, 1988.</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