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proofErr w:type="gramStart"/>
      <w:r>
        <w:t>Целта на този документ е да представи конкретни технически параметри на системите, с цел реализиране на електронно управление.</w:t>
      </w:r>
      <w:proofErr w:type="gramEnd"/>
      <w:r>
        <w:t xml:space="preserve"> </w:t>
      </w:r>
      <w:proofErr w:type="gramStart"/>
      <w:r>
        <w:t>Изискванията ще се прилагат при разработване на нови и при надграждане на съществуващите системи.</w:t>
      </w:r>
      <w:proofErr w:type="gramEnd"/>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r w:rsidRPr="00042FA1">
        <w:rPr>
          <w:lang w:val="bg-BG"/>
        </w:rPr>
        <w:t>.</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r>
      <w:proofErr w:type="gramStart"/>
      <w:r>
        <w:t>В момента електронното управление де-факто не функционира заради липса на интеграция между системите.</w:t>
      </w:r>
      <w:proofErr w:type="gramEnd"/>
      <w:r>
        <w:t xml:space="preserve"> Това се дължи на три фактора:</w:t>
      </w:r>
    </w:p>
    <w:p w:rsidR="004414C7" w:rsidRDefault="004414C7"/>
    <w:p w:rsidR="004414C7" w:rsidRDefault="006964F4">
      <w:pPr>
        <w:numPr>
          <w:ilvl w:val="0"/>
          <w:numId w:val="1"/>
        </w:numPr>
        <w:ind w:hanging="360"/>
        <w:contextualSpacing/>
      </w:pPr>
      <w:proofErr w:type="gramStart"/>
      <w:r>
        <w:t>нормативен</w:t>
      </w:r>
      <w:proofErr w:type="gramEnd"/>
      <w:r>
        <w:t xml:space="preserve">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proofErr w:type="gramStart"/>
      <w:r>
        <w:t>организационен</w:t>
      </w:r>
      <w:proofErr w:type="gramEnd"/>
      <w:r>
        <w:t xml:space="preserve">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proofErr w:type="gramStart"/>
      <w:r>
        <w:t>технологичен</w:t>
      </w:r>
      <w:proofErr w:type="gramEnd"/>
      <w:r>
        <w:t xml:space="preserve">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Pr>
        <w:rPr>
          <w:lang w:val="bg-BG"/>
        </w:rPr>
      </w:pPr>
      <w:proofErr w:type="gramStart"/>
      <w:r>
        <w:t>Макар на теория настоящият набор от нормативни, организационни и технологични решения да изглежда добър, той се оказва неприложим на практика.</w:t>
      </w:r>
      <w:proofErr w:type="gramEnd"/>
    </w:p>
    <w:p w:rsidR="00FB20A5" w:rsidRDefault="00FB20A5">
      <w:pPr>
        <w:rPr>
          <w:lang w:val="bg-BG"/>
        </w:rPr>
      </w:pPr>
    </w:p>
    <w:p w:rsidR="00FB20A5" w:rsidRPr="00087DDE" w:rsidRDefault="00FB20A5" w:rsidP="00FB20A5">
      <w:pPr>
        <w:rPr>
          <w:lang w:val="bg-BG"/>
        </w:rPr>
      </w:pPr>
      <w:proofErr w:type="gramStart"/>
      <w:r>
        <w:t>Следва графика на настоящата архитектура.</w:t>
      </w:r>
      <w:proofErr w:type="gramEnd"/>
      <w:r>
        <w:t xml:space="preserve"> </w:t>
      </w:r>
      <w:r>
        <w:rPr>
          <w:lang w:val="bg-BG"/>
        </w:rPr>
        <w:t>За съжаление към момента тя не функционира.</w:t>
      </w:r>
    </w:p>
    <w:p w:rsidR="004414C7" w:rsidRDefault="004414C7"/>
    <w:p w:rsidR="004414C7" w:rsidRDefault="006964F4">
      <w:r>
        <w:rPr>
          <w:sz w:val="18"/>
          <w:szCs w:val="18"/>
        </w:rPr>
        <w:t>(</w:t>
      </w:r>
      <w:proofErr w:type="gramStart"/>
      <w:r>
        <w:rPr>
          <w:sz w:val="18"/>
          <w:szCs w:val="18"/>
        </w:rPr>
        <w:t>източник</w:t>
      </w:r>
      <w:proofErr w:type="gramEnd"/>
      <w:r>
        <w:rPr>
          <w:sz w:val="18"/>
          <w:szCs w:val="18"/>
        </w:rPr>
        <w:t>: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Default="006964F4">
      <w:pPr>
        <w:rPr>
          <w:lang w:val="bg-BG"/>
        </w:rPr>
      </w:pPr>
      <w:proofErr w:type="gramStart"/>
      <w:r>
        <w:t xml:space="preserve">От </w:t>
      </w:r>
      <w:r w:rsidR="00FB20A5">
        <w:rPr>
          <w:lang w:val="bg-BG"/>
        </w:rPr>
        <w:t xml:space="preserve">всичко изложено дотук </w:t>
      </w:r>
      <w:bookmarkStart w:id="1" w:name="_GoBack"/>
      <w:bookmarkEnd w:id="1"/>
      <w:r>
        <w:t>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w:t>
      </w:r>
      <w:proofErr w:type="gramEnd"/>
      <w:r>
        <w:t xml:space="preserve"> </w:t>
      </w:r>
      <w:proofErr w:type="gramStart"/>
      <w:r>
        <w:t xml:space="preserve">Много от описаните по-долу компоненти са вече реализирани до определено ниво, и могат да се преизползват </w:t>
      </w:r>
      <w:r w:rsidR="00087DDE">
        <w:t>или надградят.</w:t>
      </w:r>
      <w:proofErr w:type="gramEnd"/>
      <w:r w:rsidR="00087DDE">
        <w:t xml:space="preserve"> </w:t>
      </w:r>
      <w:proofErr w:type="gramStart"/>
      <w:r w:rsidR="00087DDE">
        <w:t xml:space="preserve">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roofErr w:type="gramEnd"/>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 xml:space="preserve">позволят лесната комуникация между системи, при която изпълнителите </w:t>
      </w:r>
      <w:r w:rsidR="006964F4">
        <w:rPr>
          <w:lang w:val="bg-BG"/>
        </w:rPr>
        <w:lastRenderedPageBreak/>
        <w:t>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proofErr w:type="gramStart"/>
      <w:r>
        <w:t>Нормативните проблеми са вече адресирани със закона за изменение и допълнение на ЗЕУ.</w:t>
      </w:r>
      <w:proofErr w:type="gramEnd"/>
      <w:r>
        <w:t xml:space="preserve"> </w:t>
      </w:r>
      <w:proofErr w:type="gramStart"/>
      <w:r>
        <w:t>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w:t>
      </w:r>
      <w:proofErr w:type="gramEnd"/>
      <w:r>
        <w:t xml:space="preserve"> </w:t>
      </w:r>
      <w:proofErr w:type="gramStart"/>
      <w:r>
        <w:t>Регламент 910/2014 и последващите промени в ЗЕДЕП (закон за електронния документ и електронния подпис) пък разширяват тълкуването на понятието “електронен документ”, така че да включва всички данни в електронен вид.</w:t>
      </w:r>
      <w:proofErr w:type="gramEnd"/>
    </w:p>
    <w:p w:rsidR="004414C7" w:rsidRDefault="004414C7"/>
    <w:p w:rsidR="004414C7" w:rsidRDefault="006964F4">
      <w:proofErr w:type="gramStart"/>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roofErr w:type="gramEnd"/>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2" w:name="h.30j0zll" w:colFirst="0" w:colLast="0"/>
    <w:bookmarkEnd w:id="2"/>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proofErr w:type="gramStart"/>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w:t>
      </w:r>
      <w:proofErr w:type="gramEnd"/>
      <w:r>
        <w:t xml:space="preserve"> </w:t>
      </w:r>
      <w:proofErr w:type="gramStart"/>
      <w:r>
        <w:t>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roofErr w:type="gramEnd"/>
    </w:p>
    <w:p w:rsidR="004414C7" w:rsidRDefault="004414C7"/>
    <w:p w:rsidR="004414C7" w:rsidRDefault="006964F4">
      <w:r>
        <w:t xml:space="preserve">Предложената архитектура и технологични решения следват принципите KISS и YAGNI (Keep it simple, stupid и </w:t>
      </w:r>
      <w:proofErr w:type="gramStart"/>
      <w:r>
        <w:t>You</w:t>
      </w:r>
      <w:proofErr w:type="gramEnd"/>
      <w:r>
        <w:t xml:space="preserve"> ain’t gonna need it). </w:t>
      </w:r>
      <w:proofErr w:type="gramStart"/>
      <w:r>
        <w:t>Т.е. целта е максимално да се опрости интеграцията и изграждането на системи.</w:t>
      </w:r>
      <w:proofErr w:type="gramEnd"/>
    </w:p>
    <w:p w:rsidR="004414C7" w:rsidRDefault="004414C7"/>
    <w:p w:rsidR="004414C7" w:rsidRDefault="006964F4">
      <w:proofErr w:type="gramStart"/>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roofErr w:type="gramEnd"/>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proofErr w:type="gramStart"/>
      <w:r>
        <w:t>Следват конкретни интерфейси и структури, които първичните регистри и консуматорите (АИС-и) трябва да предоставят и извикват.</w:t>
      </w:r>
      <w:proofErr w:type="gramEnd"/>
    </w:p>
    <w:p w:rsidR="004414C7" w:rsidRDefault="006964F4">
      <w:proofErr w:type="gramStart"/>
      <w:r>
        <w:t>Всички примери са дадени в JSON формат, но XML със същата структура също следва да се поддържа.</w:t>
      </w:r>
      <w:proofErr w:type="gramEnd"/>
    </w:p>
    <w:p w:rsidR="004414C7" w:rsidRDefault="006964F4">
      <w:r>
        <w:lastRenderedPageBreak/>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w:t>
      </w:r>
      <w:proofErr w:type="gramStart"/>
      <w:r>
        <w:rPr>
          <w:rFonts w:ascii="Courier New" w:eastAsia="Courier New" w:hAnsi="Courier New" w:cs="Courier New"/>
        </w:rPr>
        <w:t>.&lt;</w:t>
      </w:r>
      <w:proofErr w:type="gramEnd"/>
      <w:r>
        <w:rPr>
          <w:rFonts w:ascii="Courier New" w:eastAsia="Courier New" w:hAnsi="Courier New" w:cs="Courier New"/>
        </w:rPr>
        <w:t>url&gt;/</w:t>
      </w:r>
      <w:r>
        <w:t xml:space="preserve">. </w:t>
      </w:r>
      <w:proofErr w:type="gramStart"/>
      <w:r>
        <w:t xml:space="preserve">Параметърът </w:t>
      </w:r>
      <w:r>
        <w:rPr>
          <w:rFonts w:ascii="Courier New" w:eastAsia="Courier New" w:hAnsi="Courier New" w:cs="Courier New"/>
        </w:rPr>
        <w:t>{version}</w:t>
      </w:r>
      <w:r>
        <w:t xml:space="preserve"> показва версията, като първоначално тя е “1”.</w:t>
      </w:r>
      <w:proofErr w:type="gramEnd"/>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deprecated</w:t>
      </w:r>
      <w:proofErr w:type="gramEnd"/>
      <w:r>
        <w:rPr>
          <w:rFonts w:ascii="Courier New" w:eastAsia="Courier New" w:hAnsi="Courier New" w:cs="Courier New"/>
        </w:rPr>
        <w:t>":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lastRenderedPageBreak/>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w:t>
      </w:r>
      <w:proofErr w:type="gramEnd"/>
      <w:r>
        <w:rPr>
          <w:rFonts w:ascii="Courier New" w:eastAsia="Courier New" w:hAnsi="Courier New" w:cs="Courier New"/>
        </w:rPr>
        <w:t>": "ЕГН",</w:t>
      </w:r>
    </w:p>
    <w:p w:rsidR="004414C7" w:rsidRDefault="006964F4">
      <w:pPr>
        <w:ind w:firstLine="720"/>
      </w:pP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POST /api</w:t>
      </w:r>
      <w:proofErr w:type="gramStart"/>
      <w:r>
        <w:rPr>
          <w:rFonts w:ascii="Courier New" w:eastAsia="Courier New" w:hAnsi="Courier New" w:cs="Courier New"/>
        </w:rPr>
        <w:t>/{</w:t>
      </w:r>
      <w:proofErr w:type="gramEnd"/>
      <w:r>
        <w:rPr>
          <w:rFonts w:ascii="Courier New" w:eastAsia="Courier New" w:hAnsi="Courier New" w:cs="Courier New"/>
        </w:rPr>
        <w:t xml:space="preserve">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724412" w:rsidRDefault="006964F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xml:space="preserve">"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xml:space="preserve">":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lastRenderedPageBreak/>
        <w:t xml:space="preserve">POST </w:t>
      </w:r>
      <w:proofErr w:type="gramStart"/>
      <w:r>
        <w:rPr>
          <w:rFonts w:ascii="Courier New" w:eastAsia="Courier New" w:hAnsi="Courier New" w:cs="Courier New"/>
        </w:rPr>
        <w:t>https:</w:t>
      </w:r>
      <w:proofErr w:type="gramEnd"/>
      <w:r>
        <w:rPr>
          <w:rFonts w:ascii="Courier New" w:eastAsia="Courier New" w:hAnsi="Courier New" w:cs="Courier New"/>
        </w:rPr>
        <w:t>//&lt;central-service-URL&gt;/api/{version}/transaction/verify?txId=&lt;txId&gt;</w:t>
      </w:r>
    </w:p>
    <w:p w:rsidR="004414C7" w:rsidRDefault="006964F4">
      <w:pPr>
        <w:numPr>
          <w:ilvl w:val="3"/>
          <w:numId w:val="11"/>
        </w:numPr>
        <w:ind w:left="1080" w:hanging="360"/>
        <w:contextualSpacing/>
      </w:pPr>
      <w:r>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w:t>
      </w:r>
      <w:proofErr w:type="gramStart"/>
      <w:r>
        <w:rPr>
          <w:rFonts w:ascii="Courier New" w:eastAsia="Courier New" w:hAnsi="Courier New" w:cs="Courier New"/>
        </w:rPr>
        <w:t>txId</w:t>
      </w:r>
      <w:proofErr w:type="gramEnd"/>
      <w:r>
        <w:rPr>
          <w:rFonts w:ascii="Courier New" w:eastAsia="Courier New" w:hAnsi="Courier New" w:cs="Courier New"/>
        </w:rPr>
        <w:t>": "5c24acb8-e001-4d92-bb0c-5a02072ca1e9",</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p>
    <w:p w:rsidR="004414C7" w:rsidRDefault="006964F4">
      <w:pPr>
        <w:ind w:left="720"/>
      </w:pPr>
      <w:r>
        <w:rPr>
          <w:rFonts w:ascii="Courier New" w:eastAsia="Courier New" w:hAnsi="Courier New" w:cs="Courier New"/>
        </w:rPr>
        <w:t xml:space="preserve">     "</w:t>
      </w:r>
      <w:proofErr w:type="gramStart"/>
      <w:r>
        <w:rPr>
          <w:rFonts w:ascii="Courier New" w:eastAsia="Courier New" w:hAnsi="Courier New" w:cs="Courier New"/>
        </w:rPr>
        <w:t>success</w:t>
      </w:r>
      <w:proofErr w:type="gramEnd"/>
      <w:r>
        <w:rPr>
          <w:rFonts w:ascii="Courier New" w:eastAsia="Courier New" w:hAnsi="Courier New" w:cs="Courier New"/>
        </w:rPr>
        <w:t>": true,</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value</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firstName</w:t>
      </w:r>
      <w:proofErr w:type="gramEnd"/>
      <w:r>
        <w:rPr>
          <w:rFonts w:ascii="Courier New" w:eastAsia="Courier New" w:hAnsi="Courier New" w:cs="Courier New"/>
        </w:rPr>
        <w:t>":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lastName</w:t>
      </w:r>
      <w:proofErr w:type="gramEnd"/>
      <w:r>
        <w:rPr>
          <w:rFonts w:ascii="Courier New" w:eastAsia="Courier New" w:hAnsi="Courier New" w:cs="Courier New"/>
        </w:rPr>
        <w:t>":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w:t>
      </w:r>
      <w:proofErr w:type="gramStart"/>
      <w:r>
        <w:rPr>
          <w:rFonts w:ascii="Courier New" w:eastAsia="Courier New" w:hAnsi="Courier New" w:cs="Courier New"/>
        </w:rPr>
        <w:t>requestTxId</w:t>
      </w:r>
      <w:proofErr w:type="gramEnd"/>
      <w:r>
        <w:rPr>
          <w:rFonts w:ascii="Courier New" w:eastAsia="Courier New" w:hAnsi="Courier New" w:cs="Courier New"/>
        </w:rPr>
        <w:t>": "5c24acb8-e001-4d92-bb0c-5a02072ca1e9",</w:t>
      </w:r>
    </w:p>
    <w:p w:rsidR="004414C7" w:rsidRDefault="006964F4">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r>
        <w:rPr>
          <w:rFonts w:ascii="Courier New" w:eastAsia="Courier New" w:hAnsi="Courier New" w:cs="Courier New"/>
        </w:rPr>
        <w:tab/>
      </w:r>
    </w:p>
    <w:p w:rsidR="004414C7" w:rsidRDefault="006964F4">
      <w:r>
        <w:rPr>
          <w:rFonts w:ascii="Courier New" w:eastAsia="Courier New" w:hAnsi="Courier New" w:cs="Courier New"/>
        </w:rPr>
        <w:tab/>
        <w:t>"</w:t>
      </w:r>
      <w:proofErr w:type="gramStart"/>
      <w:r>
        <w:rPr>
          <w:rFonts w:ascii="Courier New" w:eastAsia="Courier New" w:hAnsi="Courier New" w:cs="Courier New"/>
        </w:rPr>
        <w:t>dataChanged</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w:t>
      </w:r>
    </w:p>
    <w:p w:rsidR="004414C7" w:rsidRDefault="004414C7"/>
    <w:p w:rsidR="004414C7" w:rsidRDefault="006964F4">
      <w:proofErr w:type="gramStart"/>
      <w:r>
        <w:t>Заявителят следва да разбере за кой идентификатор (напр.</w:t>
      </w:r>
      <w:proofErr w:type="gramEnd"/>
      <w:r>
        <w:t xml:space="preserve"> ЕГН) се отнася </w:t>
      </w:r>
      <w:proofErr w:type="gramStart"/>
      <w:r>
        <w:t>известието  на</w:t>
      </w:r>
      <w:proofErr w:type="gramEnd"/>
      <w:r>
        <w:t xml:space="preserve">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proofErr w:type="gramStart"/>
      <w:r>
        <w:t>Консуматорът поддържа само два интерфейса, на дефиниран от него адрес.</w:t>
      </w:r>
      <w:proofErr w:type="gramEnd"/>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lastRenderedPageBreak/>
        <w:t>интерфейс за приемане на известия за промени на данни (в.ж. 4.1.6, типове заявки)</w:t>
      </w:r>
    </w:p>
    <w:p w:rsidR="004414C7" w:rsidRDefault="006964F4">
      <w:pPr>
        <w:ind w:left="360"/>
      </w:pPr>
      <w:r>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destinationServiceId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 [ "names", "address" ],</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proofErr w:type="gramStart"/>
      <w:r>
        <w:rPr>
          <w:rFonts w:ascii="Courier New" w:eastAsia="Courier New" w:hAnsi="Courier New" w:cs="Courier New"/>
        </w:rPr>
        <w:t>destinationServiceId</w:t>
      </w:r>
      <w:proofErr w:type="gramEnd"/>
      <w:r>
        <w:rPr>
          <w:rFonts w:ascii="Courier New" w:eastAsia="Courier New" w:hAnsi="Courier New" w:cs="Courier New"/>
        </w:rPr>
        <w:t xml:space="preserve">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lastRenderedPageBreak/>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proofErr w:type="gramStart"/>
      <w:r>
        <w:rPr>
          <w:rFonts w:ascii="Courier New" w:eastAsia="Courier New" w:hAnsi="Courier New" w:cs="Courier New"/>
        </w:rPr>
        <w:t>serviceId</w:t>
      </w:r>
      <w:proofErr w:type="gramEnd"/>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proofErr w:type="gramStart"/>
      <w:r>
        <w:rPr>
          <w:rFonts w:ascii="Courier New" w:eastAsia="Courier New" w:hAnsi="Courier New" w:cs="Courier New"/>
        </w:rPr>
        <w:t>originatingDocumentType</w:t>
      </w:r>
      <w:proofErr w:type="gramEnd"/>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w:t>
      </w:r>
      <w:proofErr w:type="gramEnd"/>
      <w:r>
        <w:t xml:space="preserve"> - имената на длъжностното лице, което инициира заявката. В случай на автоматизирана заявка не се попълва. Вж. т.8.</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requestingPersonAuthenticationToken</w:t>
      </w:r>
      <w:proofErr w:type="gramEnd"/>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т.8.</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proofErr w:type="gramStart"/>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roofErr w:type="gramEnd"/>
    </w:p>
    <w:p w:rsidR="00C7145C" w:rsidRDefault="00C7145C" w:rsidP="00C7145C"/>
    <w:p w:rsidR="00C7145C" w:rsidRDefault="00C7145C" w:rsidP="00C7145C">
      <w:proofErr w:type="gramStart"/>
      <w:r>
        <w:t>Аналогично представяне е нужно и за SOAP интерфейсите.</w:t>
      </w:r>
      <w:proofErr w:type="gramEnd"/>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proofErr w:type="gramStart"/>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roofErr w:type="gramEnd"/>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lastRenderedPageBreak/>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sidR="00E375C0" w:rsidRPr="00E375C0">
        <w:rPr>
          <w:rFonts w:ascii="Courier New" w:eastAsia="Courier New" w:hAnsi="Courier New" w:cs="Courier New"/>
        </w:rPr>
        <w:t>i</w:t>
      </w:r>
      <w:r w:rsidRPr="00E375C0">
        <w:rPr>
          <w:rFonts w:ascii="Courier New" w:eastAsia="Courier New" w:hAnsi="Courier New" w:cs="Courier New"/>
        </w:rPr>
        <w:t>d</w:t>
      </w:r>
      <w:proofErr w:type="gramEnd"/>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sidRPr="00E375C0">
        <w:rPr>
          <w:rFonts w:ascii="Courier New" w:eastAsia="Courier New" w:hAnsi="Courier New" w:cs="Courier New"/>
        </w:rPr>
        <w:t>description</w:t>
      </w:r>
      <w:proofErr w:type="gramEnd"/>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proofErr w:type="gramStart"/>
      <w:r>
        <w:rPr>
          <w:rFonts w:ascii="Courier New" w:eastAsia="Courier New" w:hAnsi="Courier New" w:cs="Courier New"/>
        </w:rPr>
        <w:t>userMessage</w:t>
      </w:r>
      <w:proofErr w:type="gramEnd"/>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details</w:t>
      </w:r>
      <w:proofErr w:type="gramEnd"/>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w:t>
      </w:r>
      <w:proofErr w:type="gramStart"/>
      <w:r>
        <w:rPr>
          <w:rFonts w:ascii="Courier New" w:eastAsia="Courier New" w:hAnsi="Courier New" w:cs="Courier New"/>
        </w:rPr>
        <w:t>идентификатор</w:t>
      </w:r>
      <w:proofErr w:type="gramEnd"/>
      <w:r>
        <w:rPr>
          <w:rFonts w:ascii="Courier New" w:eastAsia="Courier New" w:hAnsi="Courier New" w:cs="Courier New"/>
        </w:rPr>
        <w:t xml:space="preserve">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txId</w:t>
      </w:r>
      <w:proofErr w:type="gramEnd"/>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success</w:t>
      </w:r>
      <w:proofErr w:type="gramEnd"/>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error</w:t>
      </w:r>
      <w:proofErr w:type="gramEnd"/>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proofErr w:type="gramStart"/>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roofErr w:type="gramEnd"/>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proofErr w:type="gramStart"/>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roofErr w:type="gramEnd"/>
    </w:p>
    <w:p w:rsidR="004414C7" w:rsidRDefault="004414C7"/>
    <w:p w:rsidR="004414C7" w:rsidRDefault="006964F4">
      <w:proofErr w:type="gramStart"/>
      <w:r>
        <w:t>Използването на доказано дефектни протоколи като SSL 1.0/2.0/3.0 е недопустимо.</w:t>
      </w:r>
      <w:proofErr w:type="gramEnd"/>
    </w:p>
    <w:p w:rsidR="004414C7" w:rsidRDefault="004414C7"/>
    <w:p w:rsidR="004414C7" w:rsidRDefault="006964F4">
      <w:proofErr w:type="gramStart"/>
      <w:r>
        <w:t>При изграждане на нови проекти, следва да се използват последните версии на протоколите и алгоритмите.</w:t>
      </w:r>
      <w:proofErr w:type="gramEnd"/>
    </w:p>
    <w:p w:rsidR="004414C7" w:rsidRDefault="004414C7"/>
    <w:p w:rsidR="004414C7" w:rsidRDefault="006964F4">
      <w:pPr>
        <w:rPr>
          <w:lang w:val="bg-BG"/>
        </w:rPr>
      </w:pPr>
      <w:proofErr w:type="gramStart"/>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roofErr w:type="gramEnd"/>
    </w:p>
    <w:p w:rsidR="00BD08C0" w:rsidRPr="00BD08C0" w:rsidRDefault="00BD08C0">
      <w:pPr>
        <w:rPr>
          <w:lang w:val="bg-BG"/>
        </w:rPr>
      </w:pPr>
    </w:p>
    <w:p w:rsidR="004414C7" w:rsidRDefault="006964F4">
      <w:pPr>
        <w:numPr>
          <w:ilvl w:val="2"/>
          <w:numId w:val="11"/>
        </w:numPr>
        <w:ind w:left="518" w:hanging="180"/>
        <w:contextualSpacing/>
        <w:rPr>
          <w:b/>
        </w:rPr>
      </w:pPr>
      <w:r>
        <w:rPr>
          <w:b/>
        </w:rPr>
        <w:lastRenderedPageBreak/>
        <w:t>Комплекти от шифри</w:t>
      </w:r>
    </w:p>
    <w:p w:rsidR="004414C7" w:rsidRPr="00BD08C0" w:rsidRDefault="006964F4">
      <w:r w:rsidRPr="00BD08C0">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 xml:space="preserve">RSA с частен ключ с дължина поне 3072 </w:t>
      </w:r>
      <w:proofErr w:type="gramStart"/>
      <w:r>
        <w:t>бита(</w:t>
      </w:r>
      <w:proofErr w:type="gramEnd"/>
      <w:r>
        <w:t>&gt;=3072bit),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 xml:space="preserve">AES-128, AES-256 в режим </w:t>
      </w:r>
      <w:proofErr w:type="gramStart"/>
      <w:r>
        <w:t>GCM  или</w:t>
      </w:r>
      <w:proofErr w:type="gramEnd"/>
      <w:r>
        <w:t xml:space="preserve">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proofErr w:type="gramStart"/>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roofErr w:type="gramEnd"/>
    </w:p>
    <w:p w:rsidR="004414C7" w:rsidRDefault="004414C7"/>
    <w:p w:rsidR="004414C7" w:rsidRDefault="006964F4">
      <w:proofErr w:type="gramStart"/>
      <w:r>
        <w:t>Електронното подписване става с използването на електронен печат на организацията.</w:t>
      </w:r>
      <w:proofErr w:type="gramEnd"/>
      <w:r>
        <w:t xml:space="preserve"> </w:t>
      </w:r>
      <w:proofErr w:type="gramStart"/>
      <w:r>
        <w:t>Този електронен печат следва да бъде одобрен от орган, който регулира издаването и използването им (CA към централния регистър).</w:t>
      </w:r>
      <w:proofErr w:type="gramEnd"/>
      <w:r>
        <w:t xml:space="preserve"> </w:t>
      </w:r>
      <w:proofErr w:type="gramStart"/>
      <w:r>
        <w:t>Електронните печати следва да могат да се използват от софтуера, който реализира услугите, без човешка намеса.</w:t>
      </w:r>
      <w:proofErr w:type="gramEnd"/>
    </w:p>
    <w:p w:rsidR="004414C7" w:rsidRDefault="004414C7"/>
    <w:p w:rsidR="004414C7" w:rsidRDefault="006964F4">
      <w:proofErr w:type="gramStart"/>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w:t>
      </w:r>
      <w:proofErr w:type="gramEnd"/>
      <w:r>
        <w:t xml:space="preserve"> </w:t>
      </w:r>
      <w:proofErr w:type="gramStart"/>
      <w:r>
        <w:t>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roofErr w:type="gramEnd"/>
    </w:p>
    <w:p w:rsidR="004414C7" w:rsidRDefault="004414C7"/>
    <w:p w:rsidR="004414C7" w:rsidRDefault="00BD08C0">
      <w:pPr>
        <w:numPr>
          <w:ilvl w:val="2"/>
          <w:numId w:val="8"/>
        </w:numPr>
        <w:ind w:left="540" w:hanging="180"/>
        <w:contextualSpacing/>
        <w:rPr>
          <w:b/>
        </w:rPr>
      </w:pPr>
      <w:r>
        <w:rPr>
          <w:b/>
          <w:lang w:val="bg-BG"/>
        </w:rPr>
        <w:lastRenderedPageBreak/>
        <w:t xml:space="preserve">Управление на </w:t>
      </w:r>
      <w:r w:rsidR="006964F4">
        <w:rPr>
          <w:b/>
        </w:rPr>
        <w:t>пароли</w:t>
      </w:r>
    </w:p>
    <w:p w:rsidR="004414C7" w:rsidRDefault="006964F4">
      <w:proofErr w:type="gramStart"/>
      <w:r>
        <w:t>Паролите, когато се такива се използват в АИС-а, следва да бъдат съхранявани в базата данни след използване на алгоритми като bcrypt, scrypt или PBKDF2.</w:t>
      </w:r>
      <w:proofErr w:type="gramEnd"/>
      <w:r>
        <w:t xml:space="preserve"> </w:t>
      </w:r>
      <w:proofErr w:type="gramStart"/>
      <w:r>
        <w:t>Следва да имат и изискване за дължина, поне 6 символа, и препоръка за използване на изрази, вместо единични думи.</w:t>
      </w:r>
      <w:proofErr w:type="gramEnd"/>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proofErr w:type="gramStart"/>
      <w:r>
        <w:t>Всеки АИС (вкл. регистрите) трябва да предоставя SDK-и за достъп до уеб-услугите си на езика, на който е разработен АИС-а.</w:t>
      </w:r>
      <w:proofErr w:type="gramEnd"/>
      <w:r>
        <w:t xml:space="preserve"> </w:t>
      </w:r>
      <w:proofErr w:type="gramStart"/>
      <w:r>
        <w:t>При разработване на АИС-и-консуматори на друг програмен език, те предоставят за публично ползване SDK-и, които са написали.</w:t>
      </w:r>
      <w:proofErr w:type="gramEnd"/>
    </w:p>
    <w:p w:rsidR="004414C7" w:rsidRDefault="004414C7"/>
    <w:p w:rsidR="004414C7" w:rsidRDefault="006964F4">
      <w:proofErr w:type="gramStart"/>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roofErr w:type="gramEnd"/>
    </w:p>
    <w:p w:rsidR="004414C7" w:rsidRDefault="004414C7"/>
    <w:p w:rsidR="004414C7" w:rsidRDefault="006964F4">
      <w:proofErr w:type="gramStart"/>
      <w:r>
        <w:lastRenderedPageBreak/>
        <w:t>SDK-ите трябва да бъдат публикувани в стандартните хранилища за библиотеки (напр.</w:t>
      </w:r>
      <w:proofErr w:type="gramEnd"/>
      <w:r>
        <w:t xml:space="preserve"> </w:t>
      </w:r>
      <w:proofErr w:type="gramStart"/>
      <w:r>
        <w:t>Maven Central, NuGet, PEAR), като параметрите за тяхното включване в други проекти трябва да бъдат дефиниране в README файл в хранилището на проекта.</w:t>
      </w:r>
      <w:proofErr w:type="gramEnd"/>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r>
      <w:proofErr w:type="gramStart"/>
      <w:r>
        <w:t>Всеки АИС (вкл. първичните регистри) трябва да поддържат вход за длъжностни лица в администрациите с националната схема за електронна идентификация.</w:t>
      </w:r>
      <w:proofErr w:type="gramEnd"/>
      <w:r>
        <w:t xml:space="preserve"> </w:t>
      </w:r>
      <w:proofErr w:type="gramStart"/>
      <w:r>
        <w:t>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w:t>
      </w:r>
      <w:proofErr w:type="gramEnd"/>
      <w:r>
        <w:t xml:space="preserve"> </w:t>
      </w:r>
    </w:p>
    <w:p w:rsidR="004414C7" w:rsidRDefault="004414C7"/>
    <w:p w:rsidR="004414C7" w:rsidRDefault="006964F4">
      <w:r>
        <w:t xml:space="preserve">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w:t>
      </w:r>
      <w:proofErr w:type="gramStart"/>
      <w:r>
        <w:t>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roofErr w:type="gramEnd"/>
    </w:p>
    <w:p w:rsidR="004414C7" w:rsidRDefault="004414C7"/>
    <w:p w:rsidR="004414C7" w:rsidRDefault="006964F4">
      <w:proofErr w:type="gramStart"/>
      <w:r>
        <w:t>Отделно от това, всеки АИС трябва да пази журнал на действията.</w:t>
      </w:r>
      <w:proofErr w:type="gramEnd"/>
      <w:r>
        <w:t xml:space="preserve"> </w:t>
      </w:r>
      <w:proofErr w:type="gramStart"/>
      <w:r>
        <w:t>В него трябва да се записва длъжностното лице, извършеното от него действие, заедно с датата и часа (използвайки системата определяне на единно време).</w:t>
      </w:r>
      <w:proofErr w:type="gramEnd"/>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administrationId</w:t>
      </w:r>
      <w:proofErr w:type="gramEnd"/>
      <w:r>
        <w:rPr>
          <w:rFonts w:ascii="Courier New" w:eastAsia="Courier New" w:hAnsi="Courier New" w:cs="Courier New"/>
        </w:rPr>
        <w:t>" : "b25b24c2-17f2-4ac3-885e-261506a8c693",</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serviceId</w:t>
      </w:r>
      <w:proofErr w:type="gramEnd"/>
      <w:r>
        <w:rPr>
          <w:rFonts w:ascii="Courier New" w:eastAsia="Courier New" w:hAnsi="Courier New" w:cs="Courier New"/>
        </w:rPr>
        <w:t>" : "b25b24c2-17f2-4ac3-885e-261506a8c693:BRRA"</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serviceName</w:t>
      </w:r>
      <w:proofErr w:type="gramEnd"/>
      <w:r>
        <w:rPr>
          <w:rFonts w:ascii="Courier New" w:eastAsia="Courier New" w:hAnsi="Courier New" w:cs="Courier New"/>
        </w:rPr>
        <w:t>" : "Търговски регистър",</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serviceRootUrl</w:t>
      </w:r>
      <w:proofErr w:type="gramEnd"/>
      <w:r>
        <w:rPr>
          <w:rFonts w:ascii="Courier New" w:eastAsia="Courier New" w:hAnsi="Courier New" w:cs="Courier New"/>
        </w:rPr>
        <w:t>":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proofErr w:type="gramStart"/>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roofErr w:type="gramEnd"/>
    </w:p>
    <w:p w:rsidR="004414C7" w:rsidRDefault="006964F4">
      <w:r>
        <w:tab/>
      </w:r>
      <w:proofErr w:type="gramStart"/>
      <w:r>
        <w:rPr>
          <w:rFonts w:ascii="Courier New" w:eastAsia="Courier New" w:hAnsi="Courier New" w:cs="Courier New"/>
        </w:rPr>
        <w:t>administrationId</w:t>
      </w:r>
      <w:proofErr w:type="gramEnd"/>
      <w:r>
        <w:t xml:space="preserve"> е идентификатора от ИИСДА на администрацията, предоставяща регистъра.</w:t>
      </w:r>
    </w:p>
    <w:p w:rsidR="004414C7" w:rsidRDefault="006964F4">
      <w:r>
        <w:tab/>
      </w:r>
      <w:proofErr w:type="gramStart"/>
      <w:r>
        <w:rPr>
          <w:rFonts w:ascii="Courier New" w:eastAsia="Courier New" w:hAnsi="Courier New" w:cs="Courier New"/>
        </w:rPr>
        <w:t>serviceId</w:t>
      </w:r>
      <w:proofErr w:type="gramEnd"/>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 xml:space="preserve">Всяка система трябва да поддържа т.нар. </w:t>
      </w:r>
      <w:proofErr w:type="gramStart"/>
      <w:r>
        <w:t>rate-limiting</w:t>
      </w:r>
      <w:proofErr w:type="gramEnd"/>
      <w:r>
        <w:t xml:space="preserve">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error</w:t>
      </w:r>
      <w:proofErr w:type="gramEnd"/>
      <w:r>
        <w:rPr>
          <w:rFonts w:ascii="Courier New" w:eastAsia="Courier New" w:hAnsi="Courier New" w:cs="Courier New"/>
        </w:rPr>
        <w:t>": {</w:t>
      </w:r>
    </w:p>
    <w:p w:rsidR="004414C7" w:rsidRDefault="006964F4">
      <w:pPr>
        <w:ind w:left="720" w:firstLine="720"/>
      </w:pPr>
      <w:r>
        <w:rPr>
          <w:rFonts w:ascii="Courier New" w:eastAsia="Courier New" w:hAnsi="Courier New" w:cs="Courier New"/>
        </w:rPr>
        <w:t>"</w:t>
      </w:r>
      <w:proofErr w:type="gramStart"/>
      <w:r>
        <w:rPr>
          <w:rFonts w:ascii="Courier New" w:eastAsia="Courier New" w:hAnsi="Courier New" w:cs="Courier New"/>
        </w:rPr>
        <w:t>description</w:t>
      </w:r>
      <w:proofErr w:type="gramEnd"/>
      <w:r>
        <w:rPr>
          <w:rFonts w:ascii="Courier New" w:eastAsia="Courier New" w:hAnsi="Courier New" w:cs="Courier New"/>
        </w:rPr>
        <w:t>":"The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proofErr w:type="gramStart"/>
      <w:r>
        <w:t>кеш</w:t>
      </w:r>
      <w:proofErr w:type="gramEnd"/>
      <w:r>
        <w:t xml:space="preserve">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proofErr w:type="gramStart"/>
      <w:r>
        <w:t>Кои елементи/завки/извиквания да бъдат кеширани зависи от анализ на тяхното използване.</w:t>
      </w:r>
      <w:proofErr w:type="gramEnd"/>
      <w:r>
        <w:t xml:space="preserve"> </w:t>
      </w:r>
      <w:proofErr w:type="gramStart"/>
      <w:r>
        <w:t>Кешът може да има негативен ефект, в зависимост от hit-to-miss съотношението.</w:t>
      </w:r>
      <w:proofErr w:type="gramEnd"/>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proofErr w:type="gramStart"/>
      <w:r>
        <w:t>Регистрите не трябва да предоставят остарели данни.</w:t>
      </w:r>
      <w:proofErr w:type="gramEnd"/>
      <w:r>
        <w:t xml:space="preserve"> </w:t>
      </w:r>
      <w:proofErr w:type="gramStart"/>
      <w:r>
        <w:t>При промяна на даден запис, съответният елемент в кеша трябва да става невалиден.</w:t>
      </w:r>
      <w:proofErr w:type="gramEnd"/>
    </w:p>
    <w:p w:rsidR="008D5FAF" w:rsidRDefault="008D5FAF" w:rsidP="008D5FAF">
      <w:pPr>
        <w:ind w:left="1080"/>
        <w:contextualSpacing/>
      </w:pPr>
    </w:p>
    <w:p w:rsidR="004414C7" w:rsidRDefault="006964F4" w:rsidP="008D5FAF">
      <w:pPr>
        <w:pStyle w:val="ListParagraph"/>
        <w:numPr>
          <w:ilvl w:val="0"/>
          <w:numId w:val="12"/>
        </w:numPr>
      </w:pPr>
      <w:proofErr w:type="gramStart"/>
      <w:r>
        <w:t>опашки</w:t>
      </w:r>
      <w:proofErr w:type="gramEnd"/>
      <w:r>
        <w:t xml:space="preserve">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proofErr w:type="gramStart"/>
      <w:r>
        <w:t>времето</w:t>
      </w:r>
      <w:proofErr w:type="gramEnd"/>
      <w:r>
        <w:t xml:space="preserve">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proofErr w:type="gramStart"/>
      <w:r>
        <w:t>приложните</w:t>
      </w:r>
      <w:proofErr w:type="gramEnd"/>
      <w:r>
        <w:t xml:space="preserve">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proofErr w:type="gramStart"/>
      <w:r>
        <w:t>трябва</w:t>
      </w:r>
      <w:proofErr w:type="gramEnd"/>
      <w:r>
        <w:t xml:space="preserve"> да се използва т.нар. </w:t>
      </w:r>
      <w:proofErr w:type="gramStart"/>
      <w:r>
        <w:t>load</w:t>
      </w:r>
      <w:proofErr w:type="gramEnd"/>
      <w:r>
        <w:t xml:space="preserve"> balancer за балансиране на натоварването към приложните сървъри.</w:t>
      </w:r>
    </w:p>
    <w:p w:rsidR="004414C7" w:rsidRDefault="006964F4">
      <w:pPr>
        <w:numPr>
          <w:ilvl w:val="0"/>
          <w:numId w:val="7"/>
        </w:numPr>
        <w:ind w:hanging="360"/>
        <w:contextualSpacing/>
      </w:pPr>
      <w:proofErr w:type="gramStart"/>
      <w:r>
        <w:t>сървърите</w:t>
      </w:r>
      <w:proofErr w:type="gramEnd"/>
      <w:r>
        <w:t xml:space="preserve"> за данни трябва или да бъдат в клъстер (ако системата за управление на бази данни го позволява), или да поддържат т.нар. </w:t>
      </w:r>
      <w:proofErr w:type="gramStart"/>
      <w:r>
        <w:t>failover</w:t>
      </w:r>
      <w:proofErr w:type="gramEnd"/>
      <w:r>
        <w:t xml:space="preserve">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proofErr w:type="gramStart"/>
      <w:r>
        <w:t>Интернет-приложенията трябва да работят и изглеждат по еднакъв начин на последните две версии на браузъри с над 10% пазарен дял.</w:t>
      </w:r>
      <w:proofErr w:type="gramEnd"/>
      <w:r>
        <w:t xml:space="preserve"> </w:t>
      </w:r>
      <w:proofErr w:type="gramStart"/>
      <w:r>
        <w:t>Не се допуска някоя система да работи “само на Internet Explorer”, например.</w:t>
      </w:r>
      <w:proofErr w:type="gramEnd"/>
    </w:p>
    <w:p w:rsidR="004414C7" w:rsidRDefault="004414C7"/>
    <w:p w:rsidR="004414C7" w:rsidRDefault="006964F4">
      <w:proofErr w:type="gramStart"/>
      <w:r>
        <w:t>Публичният интерфейс на всяка система трябва да бъде удобен за ползване чрез мобилни устройства.</w:t>
      </w:r>
      <w:proofErr w:type="gramEnd"/>
    </w:p>
    <w:p w:rsidR="004414C7" w:rsidRDefault="004414C7"/>
    <w:p w:rsidR="004414C7" w:rsidRDefault="006964F4">
      <w:proofErr w:type="gramStart"/>
      <w:r>
        <w:t>Публичната част на всяка система трябва да има валиден цифров сертификат, издаден от разпознато в браузърите Certificate Authority.</w:t>
      </w:r>
      <w:proofErr w:type="gramEnd"/>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 xml:space="preserve">Всяка операция трябва да бъде повторена при неуспех минимум 3 пъти, с т.нар. </w:t>
      </w:r>
      <w:proofErr w:type="gramStart"/>
      <w:r>
        <w:t>exponential</w:t>
      </w:r>
      <w:proofErr w:type="gramEnd"/>
      <w:r>
        <w:t xml:space="preserve">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proofErr w:type="gramStart"/>
      <w:r>
        <w:t>Централният координатор е интеграционен компонент.</w:t>
      </w:r>
      <w:proofErr w:type="gramEnd"/>
      <w:r>
        <w:t xml:space="preserve"> </w:t>
      </w:r>
      <w:proofErr w:type="gramStart"/>
      <w:r>
        <w:t>През него минават само метаданни, а не цялата комуникация.</w:t>
      </w:r>
      <w:proofErr w:type="gramEnd"/>
      <w:r>
        <w:t xml:space="preserve"> </w:t>
      </w:r>
      <w:proofErr w:type="gramStart"/>
      <w:r>
        <w:t>В диаграмата по-горе ясно се вижда неговото участие.</w:t>
      </w:r>
      <w:proofErr w:type="gramEnd"/>
      <w:r>
        <w:t xml:space="preserve">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proofErr w:type="gramStart"/>
      <w:r>
        <w:t>да</w:t>
      </w:r>
      <w:proofErr w:type="gramEnd"/>
      <w:r>
        <w:t xml:space="preserve">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proofErr w:type="gramStart"/>
      <w:r>
        <w:t>да</w:t>
      </w:r>
      <w:proofErr w:type="gramEnd"/>
      <w:r>
        <w:t xml:space="preserve">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proofErr w:type="gramStart"/>
      <w:r>
        <w:t>да</w:t>
      </w:r>
      <w:proofErr w:type="gramEnd"/>
      <w:r>
        <w:t xml:space="preserve">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proofErr w:type="gramStart"/>
      <w:r>
        <w:t>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w:t>
      </w:r>
      <w:proofErr w:type="gramEnd"/>
      <w:r>
        <w:t xml:space="preserve"> </w:t>
      </w:r>
    </w:p>
    <w:p w:rsidR="004414C7" w:rsidRDefault="006964F4">
      <w:proofErr w:type="gramStart"/>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roofErr w:type="gramEnd"/>
    </w:p>
    <w:p w:rsidR="004414C7" w:rsidRDefault="006964F4">
      <w:proofErr w:type="gramStart"/>
      <w:r>
        <w:t>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w:t>
      </w:r>
      <w:proofErr w:type="gramEnd"/>
      <w:r>
        <w:t xml:space="preserve">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proofErr w:type="gramStart"/>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roofErr w:type="gramEnd"/>
    </w:p>
    <w:p w:rsidR="004414C7" w:rsidRDefault="004414C7"/>
    <w:p w:rsidR="004414C7" w:rsidRDefault="006964F4">
      <w:proofErr w:type="gramStart"/>
      <w:r>
        <w:t>Централният регистър поддържа и PKI-инфраструктурата.</w:t>
      </w:r>
      <w:proofErr w:type="gramEnd"/>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proofErr w:type="gramStart"/>
      <w:r>
        <w:t>- Защо не се използва изцяло RegiX?</w:t>
      </w:r>
      <w:proofErr w:type="gramEnd"/>
    </w:p>
    <w:p w:rsidR="004414C7" w:rsidRDefault="004414C7">
      <w:pPr>
        <w:ind w:left="360"/>
      </w:pPr>
    </w:p>
    <w:p w:rsidR="004414C7" w:rsidRDefault="006964F4">
      <w:pPr>
        <w:ind w:left="360"/>
      </w:pPr>
      <w:r>
        <w:rPr>
          <w:i/>
        </w:rPr>
        <w:t xml:space="preserve">- RegiX адаптира стари (legacy) системи. </w:t>
      </w:r>
      <w:proofErr w:type="gramStart"/>
      <w:r>
        <w:rPr>
          <w:i/>
        </w:rPr>
        <w:t>В тази си част той ще бъде използван.</w:t>
      </w:r>
      <w:proofErr w:type="gramEnd"/>
      <w:r>
        <w:rPr>
          <w:i/>
        </w:rPr>
        <w:t xml:space="preserve"> </w:t>
      </w:r>
      <w:proofErr w:type="gramStart"/>
      <w:r>
        <w:rPr>
          <w:i/>
        </w:rPr>
        <w:t>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w:t>
      </w:r>
      <w:proofErr w:type="gramEnd"/>
      <w:r>
        <w:rPr>
          <w:i/>
        </w:rPr>
        <w:t xml:space="preserve"> Поддържането на SUBSCRIBE функционалност чрез адаптер е трудно постижима.</w:t>
      </w:r>
    </w:p>
    <w:p w:rsidR="004414C7" w:rsidRDefault="004414C7">
      <w:pPr>
        <w:ind w:left="360"/>
      </w:pPr>
    </w:p>
    <w:p w:rsidR="004414C7" w:rsidRDefault="006964F4">
      <w:pPr>
        <w:ind w:left="360"/>
      </w:pPr>
      <w:proofErr w:type="gramStart"/>
      <w:r>
        <w:t>- Защо не се използва oid регистър, а всеки АИС публикува избран от себе си идентификатор?</w:t>
      </w:r>
      <w:proofErr w:type="gramEnd"/>
    </w:p>
    <w:p w:rsidR="004414C7" w:rsidRDefault="004414C7">
      <w:pPr>
        <w:ind w:left="360"/>
      </w:pPr>
    </w:p>
    <w:p w:rsidR="004414C7" w:rsidRDefault="006964F4">
      <w:pPr>
        <w:ind w:left="360"/>
      </w:pPr>
      <w:proofErr w:type="gramStart"/>
      <w:r>
        <w:rPr>
          <w:i/>
        </w:rPr>
        <w:t>- Ръчното поддържане на още един регистър, с процедурите по вписване в него, утежнява процедурата по включване.</w:t>
      </w:r>
      <w:proofErr w:type="gramEnd"/>
      <w:r>
        <w:rPr>
          <w:i/>
        </w:rPr>
        <w:t xml:space="preserve"> </w:t>
      </w:r>
      <w:proofErr w:type="gramStart"/>
      <w:r>
        <w:rPr>
          <w:i/>
        </w:rPr>
        <w:t>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roofErr w:type="gramEnd"/>
    </w:p>
    <w:p w:rsidR="004414C7" w:rsidRDefault="004414C7">
      <w:pPr>
        <w:ind w:left="360"/>
      </w:pPr>
    </w:p>
    <w:p w:rsidR="00DB6951" w:rsidRDefault="00DB6951" w:rsidP="00DB6951">
      <w:pPr>
        <w:ind w:left="360"/>
      </w:pPr>
      <w:proofErr w:type="gramStart"/>
      <w:r>
        <w:t>- Защо peer-to-peer комуникация?</w:t>
      </w:r>
      <w:proofErr w:type="gramEnd"/>
    </w:p>
    <w:p w:rsidR="00DB6951" w:rsidRDefault="00DB6951" w:rsidP="00DB6951">
      <w:pPr>
        <w:ind w:left="360"/>
      </w:pPr>
    </w:p>
    <w:p w:rsidR="00DB6951" w:rsidRDefault="00DB6951" w:rsidP="00DB6951">
      <w:pPr>
        <w:ind w:left="360"/>
      </w:pPr>
      <w:proofErr w:type="gramStart"/>
      <w:r>
        <w:t>- Поддържането на сложен централен интеграционен компонент има смисъл единствено, когато стари (legacy) системи трябва да бъдат интегрирани.</w:t>
      </w:r>
      <w:proofErr w:type="gramEnd"/>
      <w:r>
        <w:t xml:space="preserve"> </w:t>
      </w:r>
      <w:proofErr w:type="gramStart"/>
      <w:r>
        <w:t>Такова решение е RegiX, но предвид престоящото надгражене и изграждане на първични регистри, такъв интеграционен компонент не е нужен.</w:t>
      </w:r>
      <w:proofErr w:type="gramEnd"/>
      <w:r>
        <w:t xml:space="preserve"> </w:t>
      </w:r>
      <w:proofErr w:type="gramStart"/>
      <w:r>
        <w:t>Още повече, че той би следвало да поема цялото натоварване, което го прави по-сложен за реализиране и поддържане.</w:t>
      </w:r>
      <w:proofErr w:type="gramEnd"/>
      <w:r>
        <w:t xml:space="preserve"> </w:t>
      </w:r>
      <w:proofErr w:type="gramStart"/>
      <w:r>
        <w:t>При peer-to-peer комуникацията всяка система, която има нужда от дадени данни (и има законово основание да ги чете), ще може да направи това с проста уеб-услуга.</w:t>
      </w:r>
      <w:proofErr w:type="gramEnd"/>
    </w:p>
    <w:p w:rsidR="00DB6951" w:rsidRDefault="00DB6951" w:rsidP="00DB6951">
      <w:pPr>
        <w:ind w:left="360"/>
      </w:pPr>
    </w:p>
    <w:p w:rsidR="004414C7" w:rsidRDefault="00DB6951" w:rsidP="00DB6951">
      <w:pPr>
        <w:ind w:left="360"/>
      </w:pPr>
      <w:proofErr w:type="gramStart"/>
      <w:r>
        <w:t>- Защо все пак е нужен централен координатор на заявки?</w:t>
      </w:r>
      <w:proofErr w:type="gramEnd"/>
    </w:p>
    <w:p w:rsidR="004414C7" w:rsidRDefault="004414C7">
      <w:pPr>
        <w:ind w:left="360"/>
      </w:pPr>
    </w:p>
    <w:p w:rsidR="004414C7" w:rsidRDefault="006964F4">
      <w:pPr>
        <w:ind w:left="360"/>
      </w:pPr>
      <w:proofErr w:type="gramStart"/>
      <w:r>
        <w:rPr>
          <w:i/>
        </w:rPr>
        <w:t>-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w:t>
      </w:r>
      <w:proofErr w:type="gramEnd"/>
      <w:r>
        <w:rPr>
          <w:i/>
        </w:rPr>
        <w:t xml:space="preserve"> </w:t>
      </w:r>
      <w:proofErr w:type="gramStart"/>
      <w:r>
        <w:rPr>
          <w:i/>
        </w:rPr>
        <w:t>Също така централният компонент поема и автентикацията на заявителя пред регистъра.</w:t>
      </w:r>
      <w:proofErr w:type="gramEnd"/>
      <w:r>
        <w:rPr>
          <w:i/>
        </w:rPr>
        <w:t xml:space="preserve"> </w:t>
      </w:r>
      <w:proofErr w:type="gramStart"/>
      <w:r>
        <w:rPr>
          <w:i/>
        </w:rPr>
        <w:t>Така нито заявителят, нито регистърът има нужда да реализират функционалност за проверка на права на достъп, за запис в журнал или за автентикация.</w:t>
      </w:r>
      <w:proofErr w:type="gramEnd"/>
      <w:r>
        <w:rPr>
          <w:i/>
        </w:rPr>
        <w:t xml:space="preserve"> </w:t>
      </w:r>
      <w:proofErr w:type="gramStart"/>
      <w:r>
        <w:rPr>
          <w:i/>
        </w:rPr>
        <w:t>Единственото, което следва да направят е по една заявка към централния координатор.</w:t>
      </w:r>
      <w:proofErr w:type="gramEnd"/>
      <w:r>
        <w:rPr>
          <w:i/>
        </w:rPr>
        <w:t xml:space="preserve"> </w:t>
      </w:r>
    </w:p>
    <w:p w:rsidR="004414C7" w:rsidRDefault="004414C7">
      <w:pPr>
        <w:ind w:left="360"/>
      </w:pPr>
    </w:p>
    <w:p w:rsidR="004414C7" w:rsidRDefault="004414C7">
      <w:pPr>
        <w:ind w:left="360"/>
      </w:pPr>
    </w:p>
    <w:p w:rsidR="004414C7" w:rsidRDefault="006964F4">
      <w:pPr>
        <w:ind w:left="360"/>
      </w:pPr>
      <w:proofErr w:type="gramStart"/>
      <w:r>
        <w:t>- Защо се използва PKI за автентикация на системи?</w:t>
      </w:r>
      <w:proofErr w:type="gramEnd"/>
    </w:p>
    <w:p w:rsidR="004414C7" w:rsidRDefault="004414C7">
      <w:pPr>
        <w:ind w:left="360"/>
      </w:pPr>
    </w:p>
    <w:p w:rsidR="004414C7" w:rsidRDefault="006964F4">
      <w:pPr>
        <w:ind w:left="360"/>
      </w:pPr>
      <w:proofErr w:type="gramStart"/>
      <w:r>
        <w:rPr>
          <w:i/>
        </w:rPr>
        <w:t>- Теоретично е възможно използването на HMAC за автентикация при правене на заявка.</w:t>
      </w:r>
      <w:proofErr w:type="gramEnd"/>
      <w:r>
        <w:rPr>
          <w:i/>
        </w:rPr>
        <w:t xml:space="preserve"> </w:t>
      </w:r>
      <w:proofErr w:type="gramStart"/>
      <w:r>
        <w:rPr>
          <w:i/>
        </w:rPr>
        <w:t>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w:t>
      </w:r>
      <w:proofErr w:type="gramEnd"/>
      <w:r>
        <w:rPr>
          <w:i/>
        </w:rPr>
        <w:t xml:space="preserve"> </w:t>
      </w:r>
      <w:proofErr w:type="gramStart"/>
      <w:r>
        <w:rPr>
          <w:i/>
        </w:rPr>
        <w:t>Т.е. компрометиран централен компонент би могъл да инициира заявка от името на кой да е заявител.</w:t>
      </w:r>
      <w:proofErr w:type="gramEnd"/>
      <w:r>
        <w:rPr>
          <w:i/>
        </w:rPr>
        <w:t xml:space="preserve"> </w:t>
      </w:r>
      <w:proofErr w:type="gramStart"/>
      <w:r>
        <w:rPr>
          <w:i/>
        </w:rPr>
        <w:t>Използването на електронен подпис и PKI (в технологичния смисъл), решава този проблем.</w:t>
      </w:r>
      <w:proofErr w:type="gramEnd"/>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proofErr w:type="gramStart"/>
      <w:r>
        <w:rPr>
          <w:i/>
        </w:rPr>
        <w:t>- Съгласуването на схеми на документи е излишна бюрократична стъпка.</w:t>
      </w:r>
      <w:proofErr w:type="gramEnd"/>
      <w:r>
        <w:rPr>
          <w:i/>
        </w:rPr>
        <w:t xml:space="preserve"> </w:t>
      </w:r>
      <w:proofErr w:type="gramStart"/>
      <w:r>
        <w:rPr>
          <w:i/>
        </w:rPr>
        <w:t>Първичните администратори на данни, като отговорници за данните, дефинират формата, който се използва.</w:t>
      </w:r>
      <w:proofErr w:type="gramEnd"/>
      <w:r>
        <w:rPr>
          <w:i/>
        </w:rPr>
        <w:t xml:space="preserve"> </w:t>
      </w:r>
      <w:proofErr w:type="gramStart"/>
      <w:r>
        <w:rPr>
          <w:i/>
        </w:rPr>
        <w:t>Всички останали консуматори следват така дефинирания формат.</w:t>
      </w:r>
      <w:proofErr w:type="gramEnd"/>
      <w:r>
        <w:rPr>
          <w:i/>
        </w:rPr>
        <w:t xml:space="preserve"> </w:t>
      </w:r>
      <w:proofErr w:type="gramStart"/>
      <w:r>
        <w:rPr>
          <w:i/>
        </w:rPr>
        <w:t>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roofErr w:type="gramEnd"/>
    </w:p>
    <w:p w:rsidR="004414C7" w:rsidRDefault="004414C7">
      <w:pPr>
        <w:ind w:left="360"/>
      </w:pPr>
    </w:p>
    <w:p w:rsidR="004414C7" w:rsidRDefault="004414C7">
      <w:pPr>
        <w:ind w:left="360"/>
      </w:pPr>
    </w:p>
    <w:p w:rsidR="004414C7" w:rsidRDefault="006964F4">
      <w:pPr>
        <w:ind w:left="360"/>
      </w:pPr>
      <w:proofErr w:type="gramStart"/>
      <w:r>
        <w:t>- Защо човешкият фактор се минимизира?</w:t>
      </w:r>
      <w:proofErr w:type="gramEnd"/>
    </w:p>
    <w:p w:rsidR="004414C7" w:rsidRDefault="004414C7">
      <w:pPr>
        <w:ind w:left="360"/>
      </w:pPr>
    </w:p>
    <w:p w:rsidR="004414C7" w:rsidRDefault="006964F4">
      <w:pPr>
        <w:ind w:left="360"/>
      </w:pPr>
      <w:proofErr w:type="gramStart"/>
      <w:r>
        <w:rPr>
          <w:i/>
        </w:rPr>
        <w:t>- Всяко човешко действия в процеса въвежда потенциал за грешка, за забавяне или дори за корупция.</w:t>
      </w:r>
      <w:proofErr w:type="gramEnd"/>
      <w:r>
        <w:rPr>
          <w:i/>
        </w:rPr>
        <w:t xml:space="preserve"> </w:t>
      </w:r>
      <w:proofErr w:type="gramStart"/>
      <w:r>
        <w:rPr>
          <w:i/>
        </w:rPr>
        <w:t>Затова свеждането им до минимум и използването на системата на “автопилот” е ключово за бързото и качествено реализиране на електронното управление.</w:t>
      </w:r>
      <w:proofErr w:type="gramEnd"/>
      <w:r>
        <w:rPr>
          <w:i/>
        </w:rPr>
        <w:t xml:space="preserve">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proofErr w:type="gramStart"/>
      <w:r>
        <w:rPr>
          <w:i/>
        </w:rPr>
        <w:t>одобряване</w:t>
      </w:r>
      <w:proofErr w:type="gramEnd"/>
      <w:r>
        <w:rPr>
          <w:i/>
        </w:rPr>
        <w:t xml:space="preserve">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D7435"/>
    <w:rsid w:val="004F314B"/>
    <w:rsid w:val="005337E9"/>
    <w:rsid w:val="005E61AF"/>
    <w:rsid w:val="006964F4"/>
    <w:rsid w:val="00724412"/>
    <w:rsid w:val="0080707F"/>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 w:val="00FB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3AF13-8D7F-4A95-A2B3-6B0C66DA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17</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23</cp:revision>
  <dcterms:created xsi:type="dcterms:W3CDTF">2016-02-04T15:35:00Z</dcterms:created>
  <dcterms:modified xsi:type="dcterms:W3CDTF">2016-02-10T22:00:00Z</dcterms:modified>
</cp:coreProperties>
</file>