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изисквания-към-интеграцията-на-системи-в-рамките-на-електронното-управление"/>
      <w:bookmarkEnd w:id="21"/>
      <w:r>
        <w:t xml:space="preserve">Изисквания към интеграцията на системи в рамките на електронното управление</w:t>
      </w:r>
    </w:p>
    <w:p>
      <w:pPr>
        <w:pStyle w:val="Heading1"/>
      </w:pPr>
      <w:bookmarkStart w:id="22" w:name="съдържание"/>
      <w:bookmarkEnd w:id="22"/>
      <w:r>
        <w:t xml:space="preserve">Съдържание</w:t>
      </w:r>
    </w:p>
    <w:p>
      <w:pPr>
        <w:pStyle w:val="Compact"/>
        <w:numPr>
          <w:numId w:val="1001"/>
          <w:ilvl w:val="0"/>
        </w:numPr>
      </w:pPr>
      <w:hyperlink w:anchor="1-Интерфейси">
        <w:r>
          <w:rPr>
            <w:rStyle w:val="Link"/>
          </w:rPr>
          <w:t xml:space="preserve">Интерфейси</w:t>
        </w:r>
      </w:hyperlink>
    </w:p>
    <w:p>
      <w:pPr>
        <w:pStyle w:val="Compact"/>
        <w:numPr>
          <w:numId w:val="1001"/>
          <w:ilvl w:val="0"/>
        </w:numPr>
      </w:pPr>
      <w:hyperlink w:anchor="2-Сигнализиране-за-грешки">
        <w:r>
          <w:rPr>
            <w:rStyle w:val="Link"/>
          </w:rPr>
          <w:t xml:space="preserve">Сигнализиране за грешки</w:t>
        </w:r>
      </w:hyperlink>
    </w:p>
    <w:p>
      <w:pPr>
        <w:pStyle w:val="Compact"/>
        <w:numPr>
          <w:numId w:val="1001"/>
          <w:ilvl w:val="0"/>
        </w:numPr>
      </w:pPr>
      <w:hyperlink w:anchor="3-Диаграма-на-действията">
        <w:r>
          <w:rPr>
            <w:rStyle w:val="Link"/>
          </w:rPr>
          <w:t xml:space="preserve">Диаграма на действията</w:t>
        </w:r>
      </w:hyperlink>
    </w:p>
    <w:p>
      <w:pPr>
        <w:pStyle w:val="Compact"/>
        <w:numPr>
          <w:numId w:val="1001"/>
          <w:ilvl w:val="0"/>
        </w:numPr>
      </w:pPr>
      <w:hyperlink w:anchor="4-Електронна-идентификация-и-журнал-на-действията-от-страна-на-АИС">
        <w:r>
          <w:rPr>
            <w:rStyle w:val="Link"/>
          </w:rPr>
          <w:t xml:space="preserve">Електронна идентификация и журнал на действията от страна на АИС</w:t>
        </w:r>
      </w:hyperlink>
    </w:p>
    <w:p>
      <w:pPr>
        <w:pStyle w:val="Compact"/>
        <w:numPr>
          <w:numId w:val="1001"/>
          <w:ilvl w:val="0"/>
        </w:numPr>
      </w:pPr>
      <w:hyperlink w:anchor="5-Допълнителни-изисквания-към-първичните-регистри">
        <w:r>
          <w:rPr>
            <w:rStyle w:val="Link"/>
          </w:rPr>
          <w:t xml:space="preserve">Допълнителни изисквания към първичните регистри</w:t>
        </w:r>
      </w:hyperlink>
    </w:p>
    <w:p>
      <w:pPr>
        <w:pStyle w:val="Compact"/>
        <w:numPr>
          <w:numId w:val="1001"/>
          <w:ilvl w:val="0"/>
        </w:numPr>
      </w:pPr>
      <w:hyperlink w:anchor="6-Описание-на-централния-координатор">
        <w:r>
          <w:rPr>
            <w:rStyle w:val="Link"/>
          </w:rPr>
          <w:t xml:space="preserve">Описание на централния координатор</w:t>
        </w:r>
      </w:hyperlink>
    </w:p>
    <w:p>
      <w:pPr>
        <w:pStyle w:val="Compact"/>
        <w:numPr>
          <w:numId w:val="1001"/>
          <w:ilvl w:val="0"/>
        </w:numPr>
      </w:pPr>
      <w:hyperlink w:anchor="7-Описание-на-централния-регистър">
        <w:r>
          <w:rPr>
            <w:rStyle w:val="Link"/>
          </w:rPr>
          <w:t xml:space="preserve">Описание на централния регистър</w:t>
        </w:r>
      </w:hyperlink>
    </w:p>
    <w:p>
      <w:r>
        <w:pict>
          <v:rect style="width:0;height:1.5pt" o:hralign="center" o:hrstd="t" o:hr="t"/>
        </w:pict>
      </w:r>
    </w:p>
    <w:p>
      <w:r>
        <w:t xml:space="preserve">Този документ предсдтавя изискванията към интеграцията на системи, включвайки конкретни интерфейси и формати на заявки и отговори.</w:t>
      </w:r>
    </w:p>
    <w:p>
      <w:pPr>
        <w:pStyle w:val="Heading3"/>
      </w:pPr>
      <w:bookmarkStart w:id="23" w:name="интерфейси"/>
      <w:bookmarkEnd w:id="23"/>
      <w:r>
        <w:t xml:space="preserve">1.</w:t>
      </w:r>
      <w:r>
        <w:t xml:space="preserve"> </w:t>
      </w:r>
      <w:r>
        <w:rPr>
          <w:b/>
        </w:rPr>
        <w:t xml:space="preserve">Интерфейси</w:t>
      </w:r>
    </w:p>
    <w:p>
      <w:r>
        <w:t xml:space="preserve">Функционалността на приложенията трябва да е достъпна и през уеб-интерфейси.</w:t>
      </w:r>
    </w:p>
    <w:p>
      <w:r>
        <w:t xml:space="preserve">Следват конкретни интерфейси и структури, които първичните регистри и консуматорите (АИС-и) трябва да предоставят и извикват.</w:t>
      </w:r>
    </w:p>
    <w:p>
      <w:r>
        <w:t xml:space="preserve">Всички примери са дадени в JSON формат, но XML със същата структура също следва да се поддържа.</w:t>
      </w:r>
    </w:p>
    <w:p>
      <w:r>
        <w:t xml:space="preserve">Разграничаването на JSON от XML следва да става с използване на</w:t>
      </w:r>
      <w:r>
        <w:t xml:space="preserve"> </w:t>
      </w:r>
      <w:r>
        <w:rPr>
          <w:rStyle w:val="VerbatimChar"/>
        </w:rPr>
        <w:t xml:space="preserve">Accept</w:t>
      </w:r>
      <w:r>
        <w:t xml:space="preserve"> </w:t>
      </w:r>
      <w:r>
        <w:t xml:space="preserve">HTTP header: съответно</w:t>
      </w:r>
      <w:r>
        <w:t xml:space="preserve"> </w:t>
      </w:r>
      <w:r>
        <w:rPr>
          <w:rStyle w:val="VerbatimChar"/>
        </w:rPr>
        <w:t xml:space="preserve">application/json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text/xml</w:t>
      </w:r>
      <w:r>
        <w:t xml:space="preserve">.</w:t>
      </w:r>
    </w:p>
    <w:p>
      <w:r>
        <w:rPr>
          <w:b/>
        </w:rPr>
        <w:t xml:space="preserve">За първични регистри:</w:t>
      </w:r>
    </w:p>
    <w:p>
      <w:r>
        <w:t xml:space="preserve">Първичните регистри следва да предоставят следните интерфейси:</w:t>
      </w:r>
    </w:p>
    <w:p>
      <w:r>
        <w:t xml:space="preserve">Заб: препоръчва се адресът на API-то да бъде достъпно чрез поддомейн</w:t>
      </w:r>
      <w:r>
        <w:t xml:space="preserve"> </w:t>
      </w:r>
      <w:r>
        <w:rPr>
          <w:rStyle w:val="VerbatimChar"/>
        </w:rPr>
        <w:t xml:space="preserve">api.&lt;url&gt;/.</w:t>
      </w:r>
      <w:r>
        <w:t xml:space="preserve"> </w:t>
      </w:r>
      <w:r>
        <w:t xml:space="preserve">Параметърът</w:t>
      </w:r>
      <w:r>
        <w:t xml:space="preserve"> </w:t>
      </w:r>
      <w:r>
        <w:rPr>
          <w:rStyle w:val="VerbatimChar"/>
        </w:rPr>
        <w:t xml:space="preserve">{version}</w:t>
      </w:r>
      <w:r>
        <w:t xml:space="preserve"> </w:t>
      </w:r>
      <w:r>
        <w:t xml:space="preserve">показва версията, като първоначално тя е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GET /api/{version}/docs</w:t>
      </w:r>
      <w:r>
        <w:t xml:space="preserve"> </w:t>
      </w:r>
      <w:r>
        <w:t xml:space="preserve">- документация на всички предоставени уеб-услуги (вж. секция „Документация на интерфейсите“ в</w:t>
      </w:r>
      <w:r>
        <w:t xml:space="preserve"> </w:t>
      </w:r>
      <w:r>
        <w:t xml:space="preserve">изискванията към качеството</w:t>
      </w:r>
      <w:r>
        <w:t xml:space="preserve">). Всеки първичен регистър трябва да има стандартните, описани по-долу уеб-услуги. Както те, така и всички останали уеб-услуги, трябва да бъдат детайлно документирани - адрес, метод, параметри, поддържани сериализационни формати, начин на извикване (синхронно, асинхронно, абонамент), очаквано време (timeout) за асинхронни заявки и т.н.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GET /api/{version}/data</w:t>
      </w:r>
      <w:r>
        <w:t xml:space="preserve"> </w:t>
      </w:r>
      <w:r>
        <w:t xml:space="preserve">- списък с данни, които предоставят регистърът. Съществуват предефинирани основни типове, като “имена” или “адрес”. Вж. т.4. Например: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"data": [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"key": "names",</w:t>
      </w:r>
      <w:r>
        <w:br w:type="textWrapping"/>
      </w:r>
      <w:r>
        <w:rPr>
          <w:rStyle w:val="VerbatimChar"/>
        </w:rPr>
        <w:t xml:space="preserve">        "description": "Три имена",</w:t>
      </w:r>
      <w:r>
        <w:br w:type="textWrapping"/>
      </w:r>
      <w:r>
        <w:rPr>
          <w:rStyle w:val="VerbatimChar"/>
        </w:rPr>
        <w:t xml:space="preserve">        "version": 1,</w:t>
      </w:r>
      <w:r>
        <w:br w:type="textWrapping"/>
      </w:r>
      <w:r>
        <w:rPr>
          <w:rStyle w:val="VerbatimChar"/>
        </w:rPr>
        <w:t xml:space="preserve">        "type": "Names",</w:t>
      </w:r>
      <w:r>
        <w:br w:type="textWrapping"/>
      </w:r>
      <w:r>
        <w:rPr>
          <w:rStyle w:val="VerbatimChar"/>
        </w:rPr>
        <w:t xml:space="preserve">        "idTypes": [ "ЕГН", "ЛНЧ" ]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"key": "current_address",</w:t>
      </w:r>
      <w:r>
        <w:br w:type="textWrapping"/>
      </w:r>
      <w:r>
        <w:rPr>
          <w:rStyle w:val="VerbatimChar"/>
        </w:rPr>
        <w:t xml:space="preserve">        "description": "Настоящ адрес",</w:t>
      </w:r>
      <w:r>
        <w:br w:type="textWrapping"/>
      </w:r>
      <w:r>
        <w:rPr>
          <w:rStyle w:val="VerbatimChar"/>
        </w:rPr>
        <w:t xml:space="preserve">        "version": 2,</w:t>
      </w:r>
      <w:r>
        <w:br w:type="textWrapping"/>
      </w:r>
      <w:r>
        <w:rPr>
          <w:rStyle w:val="VerbatimChar"/>
        </w:rPr>
        <w:t xml:space="preserve">        "type": "Address",</w:t>
      </w:r>
      <w:r>
        <w:br w:type="textWrapping"/>
      </w:r>
      <w:r>
        <w:rPr>
          <w:rStyle w:val="VerbatimChar"/>
        </w:rPr>
        <w:t xml:space="preserve">        "idTypes": [ "ЕГН", "ЛНЧ" ]</w:t>
      </w:r>
      <w:r>
        <w:br w:type="textWrapping"/>
      </w:r>
      <w:r>
        <w:rPr>
          <w:rStyle w:val="VerbatimChar"/>
        </w:rPr>
        <w:t xml:space="preserve">    },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"key": "current_address",</w:t>
      </w:r>
      <w:r>
        <w:br w:type="textWrapping"/>
      </w:r>
      <w:r>
        <w:rPr>
          <w:rStyle w:val="VerbatimChar"/>
        </w:rPr>
        <w:t xml:space="preserve">        "description": "Настоящ адрес",</w:t>
      </w:r>
      <w:r>
        <w:br w:type="textWrapping"/>
      </w:r>
      <w:r>
        <w:rPr>
          <w:rStyle w:val="VerbatimChar"/>
        </w:rPr>
        <w:t xml:space="preserve">        "version": 1,</w:t>
      </w:r>
      <w:r>
        <w:br w:type="textWrapping"/>
      </w:r>
      <w:r>
        <w:rPr>
          <w:rStyle w:val="VerbatimChar"/>
        </w:rPr>
        <w:t xml:space="preserve">        "type": "Address",</w:t>
      </w:r>
      <w:r>
        <w:br w:type="textWrapping"/>
      </w:r>
      <w:r>
        <w:rPr>
          <w:rStyle w:val="VerbatimChar"/>
        </w:rPr>
        <w:t xml:space="preserve">        "idTypes": [ "ЕГН", "ЛНЧ" ],</w:t>
      </w:r>
      <w:r>
        <w:br w:type="textWrapping"/>
      </w:r>
      <w:r>
        <w:rPr>
          <w:rStyle w:val="VerbatimChar"/>
        </w:rPr>
        <w:t xml:space="preserve">        "deprecated": true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]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GET /api/{version}/services</w:t>
      </w:r>
      <w:r>
        <w:t xml:space="preserve"> </w:t>
      </w:r>
      <w:r>
        <w:t xml:space="preserve">- връща списък на уеб-услуги, които предоставя АИС-ът, с техните описания (XSD/json schema)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GET /api/{version}/dataType/{key}</w:t>
      </w:r>
      <w:r>
        <w:t xml:space="preserve"> </w:t>
      </w:r>
      <w:r>
        <w:t xml:space="preserve">- използвайки Json-schema (</w:t>
      </w:r>
      <w:hyperlink r:id="rId24">
        <w:r>
          <w:rPr>
            <w:i/>
            <w:rStyle w:val="Link"/>
          </w:rPr>
          <w:t xml:space="preserve">http://json-schema.org/examples.html</w:t>
        </w:r>
      </w:hyperlink>
      <w:r>
        <w:t xml:space="preserve">) или XSD, дефинира типовете структурите на данните, реферирани в полето type на горния списък. Параметърът “key” отговаря на стойността в type. Тези типове се извличат автоматично от централния регистър и стават де-факто “регистър на информационните обекти” според ЗЕУ.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GET /api/{version}/idTypes</w:t>
      </w:r>
      <w:r>
        <w:t xml:space="preserve"> </w:t>
      </w:r>
      <w:r>
        <w:t xml:space="preserve">- дава списък с поддържане типове идентификатор (на физически лица, юридически лица, автомобили и т.н.):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"idTypes" : [</w:t>
      </w:r>
      <w:r>
        <w:br w:type="textWrapping"/>
      </w:r>
      <w:r>
        <w:rPr>
          <w:rStyle w:val="VerbatimChar"/>
        </w:rPr>
        <w:t xml:space="preserve">    {</w:t>
      </w:r>
      <w:r>
        <w:br w:type="textWrapping"/>
      </w:r>
      <w:r>
        <w:rPr>
          <w:rStyle w:val="VerbatimChar"/>
        </w:rPr>
        <w:t xml:space="preserve">        "idType": "ЕГН",</w:t>
      </w:r>
      <w:r>
        <w:br w:type="textWrapping"/>
      </w:r>
      <w:r>
        <w:rPr>
          <w:rStyle w:val="VerbatimChar"/>
        </w:rPr>
        <w:t xml:space="preserve">        "description": "Единен граждански номер на физически лица"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]</w:t>
      </w:r>
      <w:r>
        <w:br w:type="textWrapping"/>
      </w:r>
      <w:r>
        <w:rPr>
          <w:rStyle w:val="VerbatimChar"/>
        </w:rPr>
        <w:t xml:space="preserve">}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POST /api/{version}/requestData/&lt;txId&gt;</w:t>
      </w:r>
      <w:r>
        <w:t xml:space="preserve"> </w:t>
      </w:r>
      <w:r>
        <w:t xml:space="preserve">- заявка за данни.</w:t>
      </w:r>
    </w:p>
    <w:p>
      <w:pPr>
        <w:numPr>
          <w:numId w:val="1003"/>
          <w:ilvl w:val="1"/>
        </w:numPr>
      </w:pPr>
      <w:r>
        <w:t xml:space="preserve">txId е идентификатор на транзакция, който следва да бъде проверен в централния компонент</w:t>
      </w:r>
    </w:p>
    <w:p>
      <w:pPr>
        <w:numPr>
          <w:numId w:val="1003"/>
          <w:ilvl w:val="1"/>
        </w:numPr>
      </w:pPr>
      <w:r>
        <w:t xml:space="preserve">тялото на заявката следва да съдържа следното: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"clientId" : "5c24acb8-e001-4d92-bb0c-5a02072ca1e9",</w:t>
      </w:r>
      <w:r>
        <w:br w:type="textWrapping"/>
      </w:r>
      <w:r>
        <w:rPr>
          <w:rStyle w:val="VerbatimChar"/>
        </w:rPr>
        <w:t xml:space="preserve">    "destinationId" : "b25b24c2-17f2-4ac3-885e-261506a8c693",</w:t>
      </w:r>
      <w:r>
        <w:br w:type="textWrapping"/>
      </w:r>
      <w:r>
        <w:rPr>
          <w:rStyle w:val="VerbatimChar"/>
        </w:rPr>
        <w:t xml:space="preserve">    "requestType" : "SYNCHRONOUS",</w:t>
      </w:r>
      <w:r>
        <w:br w:type="textWrapping"/>
      </w:r>
      <w:r>
        <w:rPr>
          <w:rStyle w:val="VerbatimChar"/>
        </w:rPr>
        <w:t xml:space="preserve">    "endpointType" : "DATA",</w:t>
      </w:r>
      <w:r>
        <w:br w:type="textWrapping"/>
      </w:r>
      <w:r>
        <w:rPr>
          <w:rStyle w:val="VerbatimChar"/>
        </w:rPr>
        <w:t xml:space="preserve">    "requestedDataFields" : [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"key": "names",</w:t>
      </w:r>
      <w:r>
        <w:br w:type="textWrapping"/>
      </w:r>
      <w:r>
        <w:rPr>
          <w:rStyle w:val="VerbatimChar"/>
        </w:rPr>
        <w:t xml:space="preserve">            "version": 1</w:t>
      </w:r>
      <w:r>
        <w:br w:type="textWrapping"/>
      </w:r>
      <w:r>
        <w:rPr>
          <w:rStyle w:val="VerbatimChar"/>
        </w:rPr>
        <w:t xml:space="preserve">        },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"key": "current_address",</w:t>
      </w:r>
      <w:r>
        <w:br w:type="textWrapping"/>
      </w:r>
      <w:r>
        <w:rPr>
          <w:rStyle w:val="VerbatimChar"/>
        </w:rPr>
        <w:t xml:space="preserve">            "version": 1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],</w:t>
      </w:r>
      <w:r>
        <w:br w:type="textWrapping"/>
      </w:r>
      <w:r>
        <w:rPr>
          <w:rStyle w:val="VerbatimChar"/>
        </w:rPr>
        <w:t xml:space="preserve">    "idType" : "ЕГН",</w:t>
      </w:r>
      <w:r>
        <w:br w:type="textWrapping"/>
      </w:r>
      <w:r>
        <w:rPr>
          <w:rStyle w:val="VerbatimChar"/>
        </w:rPr>
        <w:t xml:space="preserve">    "id" : "8112120511",</w:t>
      </w:r>
      <w:r>
        <w:br w:type="textWrapping"/>
      </w:r>
      <w:r>
        <w:rPr>
          <w:rStyle w:val="VerbatimChar"/>
        </w:rPr>
        <w:t xml:space="preserve">    "requestingPerson" : "Иван Иванов",</w:t>
      </w:r>
      <w:r>
        <w:br w:type="textWrapping"/>
      </w:r>
      <w:r>
        <w:rPr>
          <w:rStyle w:val="VerbatimChar"/>
        </w:rPr>
        <w:t xml:space="preserve">    "requestingPersonAuthenticationToken" : "a43vsfda5342",</w:t>
      </w:r>
      <w:r>
        <w:br w:type="textWrapping"/>
      </w:r>
      <w:r>
        <w:rPr>
          <w:rStyle w:val="VerbatimChar"/>
        </w:rPr>
        <w:t xml:space="preserve">    "serviceId": "123445"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04"/>
          <w:ilvl w:val="0"/>
        </w:numPr>
      </w:pPr>
      <w:r>
        <w:t xml:space="preserve">Проверката на заявка в централния компонент се извършва, като се изпрати заявка към него, съдържаща полученото тяло на заявката от заявителя към</w:t>
      </w:r>
    </w:p>
    <w:p>
      <w:r>
        <w:rPr>
          <w:rStyle w:val="VerbatimChar"/>
        </w:rPr>
        <w:t xml:space="preserve">POST https://&lt;central-service-URL&gt;/api/{version}/transaction/verify?txId=&lt;txId&gt;</w:t>
      </w:r>
    </w:p>
    <w:p>
      <w:pPr>
        <w:numPr>
          <w:numId w:val="1005"/>
          <w:ilvl w:val="0"/>
        </w:numPr>
      </w:pPr>
      <w:r>
        <w:t xml:space="preserve">При успешна верификация, централният компонент отговаря с true и първичният администратор на данни следва да предостави отговор на заявителя.</w:t>
      </w:r>
    </w:p>
    <w:p>
      <w:pPr>
        <w:numPr>
          <w:numId w:val="1005"/>
          <w:ilvl w:val="0"/>
        </w:numPr>
      </w:pPr>
      <w:r>
        <w:t xml:space="preserve">Типове заявки: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SYNCHRONOUS</w:t>
      </w:r>
      <w:r>
        <w:t xml:space="preserve"> </w:t>
      </w:r>
      <w:r>
        <w:t xml:space="preserve">- изисква се синхронен отговор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ASYNC</w:t>
      </w:r>
      <w:r>
        <w:t xml:space="preserve"> </w:t>
      </w:r>
      <w:r>
        <w:t xml:space="preserve">- изисква се асинхронен отговор да бъде изпратен на адрес, посочен в полето callbackUrl.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SUBSCRIBE</w:t>
      </w:r>
      <w:r>
        <w:t xml:space="preserve"> </w:t>
      </w:r>
      <w:r>
        <w:t xml:space="preserve">- всяка промяна в заявените данни следва да бъде изпращане на адрес, посочен в полето callbackUrl</w:t>
      </w:r>
    </w:p>
    <w:p>
      <w:pPr>
        <w:pStyle w:val="Compact"/>
        <w:numPr>
          <w:numId w:val="1006"/>
          <w:ilvl w:val="1"/>
        </w:numPr>
      </w:pPr>
      <w:r>
        <w:rPr>
          <w:rStyle w:val="VerbatimChar"/>
        </w:rPr>
        <w:t xml:space="preserve">UNSUBSCRIBE</w:t>
      </w:r>
      <w:r>
        <w:t xml:space="preserve"> </w:t>
      </w:r>
      <w:r>
        <w:t xml:space="preserve">- отказ от заявен</w:t>
      </w:r>
      <w:r>
        <w:t xml:space="preserve"> </w:t>
      </w:r>
      <w:r>
        <w:rPr>
          <w:rStyle w:val="VerbatimChar"/>
        </w:rPr>
        <w:t xml:space="preserve">SUBSCIRBE</w:t>
      </w:r>
    </w:p>
    <w:p>
      <w:pPr>
        <w:numPr>
          <w:numId w:val="1005"/>
          <w:ilvl w:val="0"/>
        </w:numPr>
      </w:pPr>
      <w:r>
        <w:t xml:space="preserve">Структурата на синхронния отговор, както и на асинхронните отговори, изпратени към callbackUrl следва да бъде: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"txId": "5c24acb8-e001-4d92-bb0c-5a02072ca1e9",</w:t>
      </w:r>
      <w:r>
        <w:br w:type="textWrapping"/>
      </w:r>
      <w:r>
        <w:rPr>
          <w:rStyle w:val="VerbatimChar"/>
        </w:rPr>
        <w:t xml:space="preserve">    "timestamp": "2016-01-01T17:43:19+02:00",</w:t>
      </w:r>
      <w:r>
        <w:br w:type="textWrapping"/>
      </w:r>
      <w:r>
        <w:rPr>
          <w:rStyle w:val="VerbatimChar"/>
        </w:rPr>
        <w:t xml:space="preserve">    "success": true,</w:t>
      </w:r>
      <w:r>
        <w:br w:type="textWrapping"/>
      </w:r>
      <w:r>
        <w:rPr>
          <w:rStyle w:val="VerbatimChar"/>
        </w:rPr>
        <w:t xml:space="preserve">    "data": [</w:t>
      </w:r>
      <w:r>
        <w:br w:type="textWrapping"/>
      </w:r>
      <w:r>
        <w:rPr>
          <w:rStyle w:val="VerbatimChar"/>
        </w:rPr>
        <w:t xml:space="preserve">        {</w:t>
      </w:r>
      <w:r>
        <w:br w:type="textWrapping"/>
      </w:r>
      <w:r>
        <w:rPr>
          <w:rStyle w:val="VerbatimChar"/>
        </w:rPr>
        <w:t xml:space="preserve">            "key": "names",</w:t>
      </w:r>
      <w:r>
        <w:br w:type="textWrapping"/>
      </w:r>
      <w:r>
        <w:rPr>
          <w:rStyle w:val="VerbatimChar"/>
        </w:rPr>
        <w:t xml:space="preserve">            "value": {</w:t>
      </w:r>
      <w:r>
        <w:br w:type="textWrapping"/>
      </w:r>
      <w:r>
        <w:rPr>
          <w:rStyle w:val="VerbatimChar"/>
        </w:rPr>
        <w:t xml:space="preserve">                "firstName": "Петър",</w:t>
      </w:r>
      <w:r>
        <w:br w:type="textWrapping"/>
      </w:r>
      <w:r>
        <w:rPr>
          <w:rStyle w:val="VerbatimChar"/>
        </w:rPr>
        <w:t xml:space="preserve">                "lastName": "Петров"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]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Compact"/>
        <w:numPr>
          <w:numId w:val="1007"/>
          <w:ilvl w:val="0"/>
        </w:numPr>
      </w:pPr>
      <w:r>
        <w:t xml:space="preserve">Известия за промяна при заявени данни с тип SUBSCRIBE следва да се изпращат на callbackUrl със следния формат”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"requestTxId": "5c24acb8-e001-4d92-bb0c-5a02072ca1e9",</w:t>
      </w:r>
      <w:r>
        <w:br w:type="textWrapping"/>
      </w:r>
      <w:r>
        <w:rPr>
          <w:rStyle w:val="VerbatimChar"/>
        </w:rPr>
        <w:t xml:space="preserve">    "timestamp": "2016-01-01T17:43:19+02:00",</w:t>
      </w:r>
      <w:r>
        <w:br w:type="textWrapping"/>
      </w:r>
      <w:r>
        <w:rPr>
          <w:rStyle w:val="VerbatimChar"/>
        </w:rPr>
        <w:t xml:space="preserve">    "dataChanged": "current_address"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Заявителят следва да разбере за кой идентификатор (напр. ЕГН) се отнася известието на база на requestTxId, което следва да пази в системата си при SUBSCRIBE заявки.</w:t>
      </w:r>
    </w:p>
    <w:p>
      <w:r>
        <w:rPr>
          <w:b/>
        </w:rPr>
        <w:t xml:space="preserve">За АИС (консуматор)</w:t>
      </w:r>
    </w:p>
    <w:p>
      <w:r>
        <w:t xml:space="preserve">Консуматорът поддържа само два интерфейса, на дефиниран от него адрес.</w:t>
      </w:r>
    </w:p>
    <w:p>
      <w:pPr>
        <w:numPr>
          <w:numId w:val="1008"/>
          <w:ilvl w:val="0"/>
        </w:numPr>
      </w:pPr>
      <w:r>
        <w:t xml:space="preserve">интерфейс за приемане на асинхронен отговор (вж. 1.1.6, типове заявки)</w:t>
      </w:r>
    </w:p>
    <w:p>
      <w:pPr>
        <w:numPr>
          <w:numId w:val="1008"/>
          <w:ilvl w:val="0"/>
        </w:numPr>
      </w:pPr>
      <w:r>
        <w:t xml:space="preserve">интерфейс за приемане на известия за промени на данни (вж. 1.1.6, типове заявки)</w:t>
      </w:r>
    </w:p>
    <w:p>
      <w:r>
        <w:t xml:space="preserve">Преди изпращане на заявка до първичен регистър, всеки консуматор трябва да създаде транзакция, извиквайки</w:t>
      </w:r>
      <w:r>
        <w:t xml:space="preserve"> </w:t>
      </w:r>
      <w:r>
        <w:rPr>
          <w:rStyle w:val="VerbatimChar"/>
        </w:rPr>
        <w:t xml:space="preserve">&lt;координатор&gt;/transaction/create</w:t>
      </w:r>
      <w:r>
        <w:t xml:space="preserve"> </w:t>
      </w:r>
      <w:r>
        <w:t xml:space="preserve">Примерна заявка: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"clientId" : "5c24acb8-e001-4d92-bb0c-5a02072ca1e9",</w:t>
      </w:r>
      <w:r>
        <w:br w:type="textWrapping"/>
      </w:r>
      <w:r>
        <w:rPr>
          <w:rStyle w:val="VerbatimChar"/>
        </w:rPr>
        <w:t xml:space="preserve">    "destinationId" : "b25b24c2-17f2-4ac3-885e-261506a8c693",</w:t>
      </w:r>
      <w:r>
        <w:br w:type="textWrapping"/>
      </w:r>
      <w:r>
        <w:rPr>
          <w:rStyle w:val="VerbatimChar"/>
        </w:rPr>
        <w:t xml:space="preserve">    "destinationServiceId" : "b25b24c2-17f2-4ac3-885e-261506a8c693",</w:t>
      </w:r>
      <w:r>
        <w:br w:type="textWrapping"/>
      </w:r>
      <w:r>
        <w:rPr>
          <w:rStyle w:val="VerbatimChar"/>
        </w:rPr>
        <w:t xml:space="preserve">    "requestType" : "SYNCHRONOUS",</w:t>
      </w:r>
      <w:r>
        <w:br w:type="textWrapping"/>
      </w:r>
      <w:r>
        <w:rPr>
          <w:rStyle w:val="VerbatimChar"/>
        </w:rPr>
        <w:t xml:space="preserve">    "endpointType" : "DATA",</w:t>
      </w:r>
      <w:r>
        <w:br w:type="textWrapping"/>
      </w:r>
      <w:r>
        <w:rPr>
          <w:rStyle w:val="VerbatimChar"/>
        </w:rPr>
        <w:t xml:space="preserve">    "requestedDataFields" : [ "names", "address" ],</w:t>
      </w:r>
      <w:r>
        <w:br w:type="textWrapping"/>
      </w:r>
      <w:r>
        <w:rPr>
          <w:rStyle w:val="VerbatimChar"/>
        </w:rPr>
        <w:t xml:space="preserve">    "idType" : "ЕГН",</w:t>
      </w:r>
      <w:r>
        <w:br w:type="textWrapping"/>
      </w:r>
      <w:r>
        <w:rPr>
          <w:rStyle w:val="VerbatimChar"/>
        </w:rPr>
        <w:t xml:space="preserve">    "id" : "8112120511",</w:t>
      </w:r>
      <w:r>
        <w:br w:type="textWrapping"/>
      </w:r>
      <w:r>
        <w:rPr>
          <w:rStyle w:val="VerbatimChar"/>
        </w:rPr>
        <w:t xml:space="preserve">    "requestingPerson" : "Иван Иванов",</w:t>
      </w:r>
      <w:r>
        <w:br w:type="textWrapping"/>
      </w:r>
      <w:r>
        <w:rPr>
          <w:rStyle w:val="VerbatimChar"/>
        </w:rPr>
        <w:t xml:space="preserve">    "requestingPersonAuthenticationToken" : "a43vsfda5342",</w:t>
      </w:r>
      <w:r>
        <w:br w:type="textWrapping"/>
      </w:r>
      <w:r>
        <w:rPr>
          <w:rStyle w:val="VerbatimChar"/>
        </w:rPr>
        <w:t xml:space="preserve">    "serviceId": "123445"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Необходимо е и да бъдат предоставени два HTTP header-a: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Signature</w:t>
      </w:r>
      <w:r>
        <w:t xml:space="preserve"> </w:t>
      </w:r>
      <w:r>
        <w:t xml:space="preserve">- електронно подписаното тяло на заявката</w:t>
      </w:r>
    </w:p>
    <w:p>
      <w:pPr>
        <w:numPr>
          <w:numId w:val="1009"/>
          <w:ilvl w:val="0"/>
        </w:numPr>
      </w:pPr>
      <w:r>
        <w:rPr>
          <w:rStyle w:val="VerbatimChar"/>
        </w:rPr>
        <w:t xml:space="preserve">Signature-Algorithm</w:t>
      </w:r>
      <w:r>
        <w:t xml:space="preserve"> </w:t>
      </w:r>
      <w:r>
        <w:t xml:space="preserve">- алгоритъмът, използван за съставянето на</w:t>
      </w:r>
      <w:r>
        <w:t xml:space="preserve"> </w:t>
      </w:r>
      <w:r>
        <w:rPr>
          <w:rStyle w:val="VerbatimChar"/>
        </w:rPr>
        <w:t xml:space="preserve">Signature</w:t>
      </w:r>
      <w:r>
        <w:t xml:space="preserve">, напр. SHA256withRSA</w:t>
      </w:r>
    </w:p>
    <w:p>
      <w:r>
        <w:t xml:space="preserve">Полетата за всяка заявка за данни са:</w:t>
      </w:r>
    </w:p>
    <w:p>
      <w:r>
        <w:t xml:space="preserve">Задължителни: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clientId</w:t>
      </w:r>
      <w:r>
        <w:t xml:space="preserve"> </w:t>
      </w:r>
      <w:r>
        <w:t xml:space="preserve">- идентификатор на администрацията-заявител (от административния регистър)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destinationId</w:t>
      </w:r>
      <w:r>
        <w:t xml:space="preserve"> </w:t>
      </w:r>
      <w:r>
        <w:t xml:space="preserve">- идентификатор на администрацията, предоставяща данните/услугата (от административния регистър)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destinationServiceId</w:t>
      </w:r>
      <w:r>
        <w:t xml:space="preserve"> </w:t>
      </w:r>
      <w:r>
        <w:t xml:space="preserve">- идентификатор на първичния регистър / АИС, предоставящ данните/услугата. Всеки АИС (вкл. регистър) избира собствен идентификатор и го публикува в централния компонент. АИС-заявител може или да конфигурира предварително този индентификатор (вземайки го от списъка на централния регистър), а може да го заявява периодично, питайки централния регистър “кой е идентификатора на регистъра, който предодставя данна X”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requestType</w:t>
      </w:r>
      <w:r>
        <w:t xml:space="preserve"> </w:t>
      </w:r>
      <w:r>
        <w:t xml:space="preserve">- тип на заявката - синхронна/асинхронна/заявка за уведомяване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endpointType</w:t>
      </w:r>
      <w:r>
        <w:t xml:space="preserve"> </w:t>
      </w:r>
      <w:r>
        <w:t xml:space="preserve">- тип на крайната точка на транзакцията - дали предоставя данни (</w:t>
      </w:r>
      <w:r>
        <w:rPr>
          <w:rStyle w:val="VerbatimChar"/>
        </w:rPr>
        <w:t xml:space="preserve">/requestData</w:t>
      </w:r>
      <w:r>
        <w:t xml:space="preserve">) (</w:t>
      </w:r>
      <w:r>
        <w:rPr>
          <w:rStyle w:val="VerbatimChar"/>
        </w:rPr>
        <w:t xml:space="preserve">DATA</w:t>
      </w:r>
      <w:r>
        <w:t xml:space="preserve">) или е пълноправна услуга (</w:t>
      </w:r>
      <w:r>
        <w:rPr>
          <w:rStyle w:val="VerbatimChar"/>
        </w:rPr>
        <w:t xml:space="preserve">SERVICE</w:t>
      </w:r>
      <w:r>
        <w:t xml:space="preserve">)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requestedDataFields</w:t>
      </w:r>
      <w:r>
        <w:t xml:space="preserve"> </w:t>
      </w:r>
      <w:r>
        <w:t xml:space="preserve">- данните, които се заявяват, като</w:t>
      </w:r>
      <w:r>
        <w:t xml:space="preserve"> </w:t>
      </w:r>
      <w:r>
        <w:rPr>
          <w:rStyle w:val="VerbatimChar"/>
        </w:rPr>
        <w:t xml:space="preserve">key</w:t>
      </w:r>
      <w:r>
        <w:t xml:space="preserve"> </w:t>
      </w:r>
      <w:r>
        <w:t xml:space="preserve">съдържа името на данната, а</w:t>
      </w:r>
      <w:r>
        <w:t xml:space="preserve"> </w:t>
      </w:r>
      <w:r>
        <w:rPr>
          <w:rStyle w:val="VerbatimChar"/>
        </w:rPr>
        <w:t xml:space="preserve">version</w:t>
      </w:r>
      <w:r>
        <w:t xml:space="preserve"> </w:t>
      </w:r>
      <w:r>
        <w:t xml:space="preserve">– версията, която се заявява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idType</w:t>
      </w:r>
      <w:r>
        <w:t xml:space="preserve"> </w:t>
      </w:r>
      <w:r>
        <w:t xml:space="preserve">- типът на използвания идентификатор, поддържан от първичния администратор (</w:t>
      </w:r>
      <w:r>
        <w:rPr>
          <w:rStyle w:val="VerbatimChar"/>
        </w:rPr>
        <w:t xml:space="preserve">/api/idTypes</w:t>
      </w:r>
      <w:r>
        <w:t xml:space="preserve">)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id</w:t>
      </w:r>
      <w:r>
        <w:t xml:space="preserve"> </w:t>
      </w:r>
      <w:r>
        <w:t xml:space="preserve">- идентификатора на лицето/автомобила/имота/и т.н., за които се искат данни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originatingDocumentId</w:t>
      </w:r>
      <w:r>
        <w:t xml:space="preserve"> </w:t>
      </w:r>
      <w:r>
        <w:t xml:space="preserve">- идентификатор на документ (преписка) на заявителя, на база на който се изисква достъпа до данните</w:t>
      </w:r>
    </w:p>
    <w:p>
      <w:r>
        <w:t xml:space="preserve">Опционални: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serviceId</w:t>
      </w:r>
      <w:r>
        <w:t xml:space="preserve"> </w:t>
      </w:r>
      <w:r>
        <w:t xml:space="preserve">- идентификатор на услугата (от регистъра на услугите), за изпълнението на която са нужни данните.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legalReason</w:t>
      </w:r>
      <w:r>
        <w:t xml:space="preserve"> </w:t>
      </w:r>
      <w:r>
        <w:t xml:space="preserve">- правно основание за заявяването на данните, когато те не са заявени за конкретна услуга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originatingDocumentType</w:t>
      </w:r>
      <w:r>
        <w:t xml:space="preserve"> </w:t>
      </w:r>
      <w:r>
        <w:t xml:space="preserve">- тип на документ на заявителя, на база на който се изисква достъпа до данните, в свободен текст, дефиниран от АИС-заявител.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requestingPerson</w:t>
      </w:r>
      <w:r>
        <w:t xml:space="preserve"> </w:t>
      </w:r>
      <w:r>
        <w:t xml:space="preserve">- имената на длъжностното лице, което инициира заявката. В случай на автоматизирана заявка не се попълва. Вж. т.10.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requestingPersonAuthenticationToken</w:t>
      </w:r>
      <w:r>
        <w:t xml:space="preserve"> </w:t>
      </w:r>
      <w:r>
        <w:t xml:space="preserve">- token/идентификатор, издаден от валидиращият орган за електронна идентификация (Identity Provider), по който може да бъде идентифицирано длъжностното лице, извършило заявката. В случай на автоматизирана заявка не се попълва. Вж. т.10.</w:t>
      </w:r>
    </w:p>
    <w:p>
      <w:pPr>
        <w:numPr>
          <w:numId w:val="1011"/>
          <w:ilvl w:val="0"/>
        </w:numPr>
      </w:pPr>
      <w:r>
        <w:rPr>
          <w:rStyle w:val="VerbatimChar"/>
        </w:rPr>
        <w:t xml:space="preserve">callbackUrl</w:t>
      </w:r>
      <w:r>
        <w:t xml:space="preserve"> </w:t>
      </w:r>
      <w:r>
        <w:t xml:space="preserve">- адрес (URL), на който да бъде изпратен отговора на</w:t>
      </w:r>
      <w:r>
        <w:t xml:space="preserve"> </w:t>
      </w:r>
      <w:r>
        <w:rPr>
          <w:rStyle w:val="VerbatimChar"/>
        </w:rPr>
        <w:t xml:space="preserve">ASYNC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SUBSCRIBE</w:t>
      </w:r>
      <w:r>
        <w:t xml:space="preserve"> </w:t>
      </w:r>
      <w:r>
        <w:t xml:space="preserve">заявка</w:t>
      </w:r>
    </w:p>
    <w:p>
      <w:pPr>
        <w:pStyle w:val="Heading3"/>
      </w:pPr>
      <w:bookmarkStart w:id="25" w:name="сигнализиране-за-грешки"/>
      <w:bookmarkEnd w:id="25"/>
      <w:r>
        <w:t xml:space="preserve">2.</w:t>
      </w:r>
      <w:r>
        <w:t xml:space="preserve"> </w:t>
      </w:r>
      <w:r>
        <w:rPr>
          <w:b/>
        </w:rPr>
        <w:t xml:space="preserve">Сигнализиране за грешки</w:t>
      </w:r>
    </w:p>
    <w:p>
      <w:r>
        <w:t xml:space="preserve">Всяка заявка към приложно-програмния интерфейс на системата се смята за успешно изпълнена, освен ако HTTP Status кодът на отговора ѝ не е код за грешка (4XX или 5XX).</w:t>
      </w:r>
    </w:p>
    <w:p>
      <w:r>
        <w:t xml:space="preserve">При възникване на грешка по време на заявка, системата трябва да върне подходящ HTTP Status код и в тялото на отговора трябва да присъства следната структурирана информация за възникналата грешка (</w:t>
      </w:r>
      <w:r>
        <w:rPr>
          <w:rStyle w:val="VerbatimChar"/>
        </w:rPr>
        <w:t xml:space="preserve">id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са задължителни):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"id": "&lt;идентификатор на грешката – числов или символен&gt;",</w:t>
      </w:r>
      <w:r>
        <w:br w:type="textWrapping"/>
      </w:r>
      <w:r>
        <w:rPr>
          <w:rStyle w:val="VerbatimChar"/>
        </w:rPr>
        <w:t xml:space="preserve">    "description ": "подробно и лесно за разбиране обяснение в какво се</w:t>
      </w:r>
      <w:r>
        <w:br w:type="textWrapping"/>
      </w:r>
      <w:r>
        <w:rPr>
          <w:rStyle w:val="VerbatimChar"/>
        </w:rPr>
        <w:t xml:space="preserve">изразява грешката",</w:t>
      </w:r>
      <w:r>
        <w:br w:type="textWrapping"/>
      </w:r>
      <w:r>
        <w:rPr>
          <w:rStyle w:val="VerbatimChar"/>
        </w:rPr>
        <w:t xml:space="preserve">    "userMessage": "кратко обяснение на грешката, подходящо запоказване на краен потребител",</w:t>
      </w:r>
      <w:r>
        <w:br w:type="textWrapping"/>
      </w:r>
      <w:r>
        <w:rPr>
          <w:rStyle w:val="VerbatimChar"/>
        </w:rPr>
        <w:t xml:space="preserve">    "details ": {</w:t>
      </w:r>
      <w:r>
        <w:br w:type="textWrapping"/>
      </w:r>
      <w:r>
        <w:rPr>
          <w:rStyle w:val="VerbatimChar"/>
        </w:rPr>
        <w:t xml:space="preserve">        "&lt;идентификатор на обект&gt;": [</w:t>
      </w:r>
      <w:r>
        <w:br w:type="textWrapping"/>
      </w:r>
      <w:r>
        <w:rPr>
          <w:rStyle w:val="VerbatimChar"/>
        </w:rPr>
        <w:t xml:space="preserve">            "информация за грешка 1",</w:t>
      </w:r>
      <w:r>
        <w:br w:type="textWrapping"/>
      </w:r>
      <w:r>
        <w:rPr>
          <w:rStyle w:val="VerbatimChar"/>
        </w:rPr>
        <w:t xml:space="preserve">            "информация за грешка 2",</w:t>
      </w:r>
      <w:r>
        <w:br w:type="textWrapping"/>
      </w:r>
      <w:r>
        <w:rPr>
          <w:rStyle w:val="VerbatimChar"/>
        </w:rPr>
        <w:t xml:space="preserve">        ],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При грешка в отговора на асинхронна заявка (ASYNC), регистърът изпраща следното съобщение към</w:t>
      </w:r>
      <w:r>
        <w:t xml:space="preserve"> </w:t>
      </w:r>
      <w:r>
        <w:rPr>
          <w:rStyle w:val="VerbatimChar"/>
        </w:rPr>
        <w:t xml:space="preserve">callbackUrl</w:t>
      </w:r>
      <w:r>
        <w:t xml:space="preserve">-а: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"txId": "5c24acb8-e001-4d92-bb0c-5a02072ca1e9",</w:t>
      </w:r>
      <w:r>
        <w:br w:type="textWrapping"/>
      </w:r>
      <w:r>
        <w:rPr>
          <w:rStyle w:val="VerbatimChar"/>
        </w:rPr>
        <w:t xml:space="preserve">    "success": false,</w:t>
      </w:r>
      <w:r>
        <w:br w:type="textWrapping"/>
      </w:r>
      <w:r>
        <w:rPr>
          <w:rStyle w:val="VerbatimChar"/>
        </w:rPr>
        <w:t xml:space="preserve">    "error": &lt;Error Object&gt;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6" w:name="диаграма-на-действията"/>
      <w:bookmarkEnd w:id="26"/>
      <w:r>
        <w:t xml:space="preserve">3.</w:t>
      </w:r>
      <w:r>
        <w:t xml:space="preserve"> </w:t>
      </w:r>
      <w:r>
        <w:rPr>
          <w:b/>
        </w:rPr>
        <w:t xml:space="preserve">Диаграма на действията</w:t>
      </w:r>
    </w:p>
    <w:p>
      <w:r>
        <w:drawing>
          <wp:inline>
            <wp:extent cx="5334000" cy="43035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dia/seque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3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електронна-идентификация-и-журнал-на-действията-от-страна-на-аис"/>
      <w:bookmarkEnd w:id="28"/>
      <w:r>
        <w:t xml:space="preserve">4.</w:t>
      </w:r>
      <w:r>
        <w:t xml:space="preserve"> </w:t>
      </w:r>
      <w:r>
        <w:rPr>
          <w:b/>
        </w:rPr>
        <w:t xml:space="preserve">Електронна идентификация и журнал на действията от страна на АИС</w:t>
      </w:r>
    </w:p>
    <w:p>
      <w:r>
        <w:t xml:space="preserve">Всеки АИС (вкл. първичните регистри) трябва да поддържат вход за длъжностни лица в администрациите с националната схема за електронна идентификация. Преди тя да бъде достъпна, за временен преходен период, това може да става и с квалифициран електронен подпис (напр. чрез системата за електронна автентикация).</w:t>
      </w:r>
    </w:p>
    <w:p>
      <w:r>
        <w:t xml:space="preserve">Всеки път, когато длъжностно лице се идентифицира електронно пред системата, центърът за електронна идентификация (Identity Provider) предоставя token за достъп до данни и token, идентифициращ уникално текущата сесия. Вторият token трябва да бъде включен в ръчни заявки за данни, за може впоследствие еднозначно (чрез корелиране на този token между централния координатор и валидиращия орган) да се определи дали заявителят наистина е този, който се твърди.</w:t>
      </w:r>
    </w:p>
    <w:p>
      <w:r>
        <w:t xml:space="preserve">Отделно от това, всеки АИС трябва да пази журнал на действията. В него трябва да се записва длъжностното лице, извършеното от него действие, заедно с датата и часа (използвайки системата определяне на единно време).</w:t>
      </w:r>
    </w:p>
    <w:p>
      <w:pPr>
        <w:pStyle w:val="Heading3"/>
      </w:pPr>
      <w:bookmarkStart w:id="29" w:name="допълнителни-изисквания-към-първичните-регистри"/>
      <w:bookmarkEnd w:id="29"/>
      <w:r>
        <w:t xml:space="preserve">5.</w:t>
      </w:r>
      <w:r>
        <w:t xml:space="preserve"> </w:t>
      </w:r>
      <w:r>
        <w:rPr>
          <w:b/>
        </w:rPr>
        <w:t xml:space="preserve">Допълнителни изисквания към първичните регистри</w:t>
      </w:r>
    </w:p>
    <w:p>
      <w:r>
        <w:t xml:space="preserve">Първичните регистри трябва да:</w:t>
      </w:r>
    </w:p>
    <w:p>
      <w:pPr>
        <w:pStyle w:val="Compact"/>
        <w:numPr>
          <w:numId w:val="1012"/>
          <w:ilvl w:val="0"/>
        </w:numPr>
      </w:pPr>
      <w:r>
        <w:t xml:space="preserve">обявят своето съществуване на координатора, като при стартирането си извикат</w:t>
      </w:r>
      <w:r>
        <w:t xml:space="preserve"> </w:t>
      </w:r>
      <w:r>
        <w:rPr>
          <w:rStyle w:val="VerbatimChar"/>
        </w:rPr>
        <w:t xml:space="preserve">POST /registers</w:t>
      </w:r>
      <w:r>
        <w:t xml:space="preserve"> </w:t>
      </w:r>
      <w:r>
        <w:t xml:space="preserve">с тяло със следната структура:</w:t>
      </w:r>
    </w:p>
    <w:p>
      <w:pPr>
        <w:pStyle w:val="SourceCode"/>
      </w:pPr>
      <w:r>
        <w:rPr>
          <w:rStyle w:val="VerbatimChar"/>
        </w:rPr>
        <w:t xml:space="preserve">{</w:t>
      </w:r>
      <w:r>
        <w:br w:type="textWrapping"/>
      </w:r>
      <w:r>
        <w:rPr>
          <w:rStyle w:val="VerbatimChar"/>
        </w:rPr>
        <w:t xml:space="preserve">    "administrationId" : "b25b24c2-17f2-4ac3-885e-261506a8c693",</w:t>
      </w:r>
      <w:r>
        <w:br w:type="textWrapping"/>
      </w:r>
      <w:r>
        <w:rPr>
          <w:rStyle w:val="VerbatimChar"/>
        </w:rPr>
        <w:t xml:space="preserve">    "serviceId" : "b25b24c2-17f2-4ac3-885e-261506a8c693:BRRA"</w:t>
      </w:r>
      <w:r>
        <w:br w:type="textWrapping"/>
      </w:r>
      <w:r>
        <w:rPr>
          <w:rStyle w:val="VerbatimChar"/>
        </w:rPr>
        <w:t xml:space="preserve">    "serviceName" : "Търговски регистър",</w:t>
      </w:r>
      <w:r>
        <w:br w:type="textWrapping"/>
      </w:r>
      <w:r>
        <w:rPr>
          <w:rStyle w:val="VerbatimChar"/>
        </w:rPr>
        <w:t xml:space="preserve">    "serviceRootUrl": "http://api.brra.bg"</w:t>
      </w:r>
      <w:r>
        <w:br w:type="textWrapping"/>
      </w:r>
      <w:r>
        <w:rPr>
          <w:rStyle w:val="VerbatimChar"/>
        </w:rPr>
        <w:t xml:space="preserve">}</w:t>
      </w:r>
    </w:p>
    <w:p>
      <w:r>
        <w:t xml:space="preserve">HTTP header-ите</w:t>
      </w:r>
      <w:r>
        <w:t xml:space="preserve"> </w:t>
      </w:r>
      <w:r>
        <w:rPr>
          <w:rStyle w:val="VerbatimChar"/>
        </w:rPr>
        <w:t xml:space="preserve">Signature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Signature-Algorithm</w:t>
      </w:r>
      <w:r>
        <w:t xml:space="preserve"> </w:t>
      </w:r>
      <w:r>
        <w:t xml:space="preserve">трябва да се използват и при тази заявка.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administrationId</w:t>
      </w:r>
      <w:r>
        <w:t xml:space="preserve"> </w:t>
      </w:r>
      <w:r>
        <w:t xml:space="preserve">е идентификатора от ИИСДА на администрацията, предоставяща регистъра.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serviceId</w:t>
      </w:r>
      <w:r>
        <w:t xml:space="preserve"> </w:t>
      </w:r>
      <w:r>
        <w:t xml:space="preserve">е идентификатора на АИС (регистъра, в случая), който се образува от идентификатора на администрацията, двоеточие, и уникален ключ за система в рамките на администрацията.</w:t>
      </w:r>
    </w:p>
    <w:p>
      <w:pPr>
        <w:numPr>
          <w:numId w:val="1013"/>
          <w:ilvl w:val="0"/>
        </w:numPr>
      </w:pPr>
      <w:r>
        <w:t xml:space="preserve">Освен продукционната среда, всеки първичен регистър трябва да поддържа и поне една тестова/staging среда. Данните в тестовата среда не трябва да бъдат реални, а трябва да бъдат документирани в</w:t>
      </w:r>
      <w:r>
        <w:t xml:space="preserve"> </w:t>
      </w:r>
      <w:r>
        <w:rPr>
          <w:rStyle w:val="VerbatimChar"/>
        </w:rPr>
        <w:t xml:space="preserve">/api/docs/test</w:t>
      </w:r>
    </w:p>
    <w:p>
      <w:pPr>
        <w:numPr>
          <w:numId w:val="1013"/>
          <w:ilvl w:val="0"/>
        </w:numPr>
      </w:pPr>
      <w:r>
        <w:t xml:space="preserve">Поддържат услуга за проверка на законно представителство (напр. Търговският регистър поддържа проверка дали дадено физическо лице е законен представител на юридическо лице, база данни население поддържа проверка дали дадено лице е законен представител на малолетно или непълнолетно лице)</w:t>
      </w:r>
    </w:p>
    <w:p>
      <w:pPr>
        <w:pStyle w:val="Heading3"/>
      </w:pPr>
      <w:bookmarkStart w:id="30" w:name="описание-на-централния-координатор"/>
      <w:bookmarkEnd w:id="30"/>
      <w:r>
        <w:t xml:space="preserve">6.</w:t>
      </w:r>
      <w:r>
        <w:t xml:space="preserve"> </w:t>
      </w:r>
      <w:r>
        <w:rPr>
          <w:b/>
        </w:rPr>
        <w:t xml:space="preserve">Описание на централния координатор</w:t>
      </w:r>
    </w:p>
    <w:p>
      <w:r>
        <w:t xml:space="preserve">Централният координатор е интеграционен компонент. През него минават само метаданни, а не цялата комуникация. В диаграмата по-горе ясно се вижда неговото участие. Основните му функции са:</w:t>
      </w:r>
    </w:p>
    <w:p>
      <w:pPr>
        <w:numPr>
          <w:numId w:val="1014"/>
          <w:ilvl w:val="0"/>
        </w:numPr>
      </w:pPr>
      <w:r>
        <w:t xml:space="preserve">да провери автентичността на заявката и заявителя</w:t>
      </w:r>
    </w:p>
    <w:p>
      <w:pPr>
        <w:numPr>
          <w:numId w:val="1014"/>
          <w:ilvl w:val="0"/>
        </w:numPr>
      </w:pPr>
      <w:r>
        <w:t xml:space="preserve">да провери дали заявителят има достъп (базиран на право основание) до данните, които е заявил.</w:t>
      </w:r>
    </w:p>
    <w:p>
      <w:pPr>
        <w:numPr>
          <w:numId w:val="1014"/>
          <w:ilvl w:val="0"/>
        </w:numPr>
      </w:pPr>
      <w:r>
        <w:t xml:space="preserve">да запише информация за заявката в журнал, използвайки сигурно време, предоставено от Time Stamping Authority (т.нар. СОЕВ), така че да гарантира противопоставимост в съда.</w:t>
      </w:r>
    </w:p>
    <w:p>
      <w:pPr>
        <w:numPr>
          <w:numId w:val="1014"/>
          <w:ilvl w:val="0"/>
        </w:numPr>
      </w:pPr>
      <w:r>
        <w:t xml:space="preserve">да предостави механизъм на системата на първичния регистър да провери дали всяка, получена от него заявка, е оторизирана.</w:t>
      </w:r>
    </w:p>
    <w:p>
      <w:pPr>
        <w:pStyle w:val="Heading3"/>
      </w:pPr>
      <w:bookmarkStart w:id="31" w:name="описание-на-централния-регистър"/>
      <w:bookmarkEnd w:id="31"/>
      <w:r>
        <w:t xml:space="preserve">7.</w:t>
      </w:r>
      <w:r>
        <w:t xml:space="preserve"> </w:t>
      </w:r>
      <w:r>
        <w:rPr>
          <w:b/>
        </w:rPr>
        <w:t xml:space="preserve">Описание на централния регистър</w:t>
      </w:r>
    </w:p>
    <w:p>
      <w:r>
        <w:t xml:space="preserve">Централният регистър е логически компонент, реализиран от една страна чрез ИИСДА (Интегрирана Информационна Система на Държавна Администрация), от друга страна с отделна база данни към централния координатор.</w:t>
      </w:r>
    </w:p>
    <w:p>
      <w:r>
        <w:t xml:space="preserve">Данните в ИИСДА се попълват от администрациите и утрърждават от администрацията на министерския съвет, в съответствие с Наредбата за административния регистър.</w:t>
      </w:r>
    </w:p>
    <w:p>
      <w:r>
        <w:t xml:space="preserve">За всяка услуга (без значение дали към момента на въвеждане тя е електронизирана) се води списък с данни, до които администрацията, която извършва услугата, има нормативно-обоснован достъп. При попълване на тези данни от администрациите, те се вземат от публикуваните типове данни от всеки първичен регистър, чрез интерфейса /api/data, и се представят в удобен за търсене вид (напр. първичен регистър + описание на данната)</w:t>
      </w:r>
    </w:p>
    <w:p>
      <w:r>
        <w:t xml:space="preserve">Ако даден тип данни не е публикуван от никой регистър към момента на въвеждането на данни в административния регистър, то този избор може да бъде направен впоследствие.</w:t>
      </w:r>
    </w:p>
    <w:p>
      <w:r>
        <w:t xml:space="preserve">Централният регистър поддържа и PKI-инфраструктурата.</w:t>
      </w:r>
    </w:p>
    <w:p>
      <w:r>
        <w:t xml:space="preserve">Освен функционалностите на ИИСДА, с която основно комуникира координаторът, АИС-ите имат достъп до няколко списъка:</w:t>
      </w:r>
    </w:p>
    <w:p>
      <w:r>
        <w:t xml:space="preserve">Намиране на регистър, който предоставя дадена данна:</w:t>
      </w:r>
    </w:p>
    <w:p>
      <w:pPr>
        <w:pStyle w:val="SourceCode"/>
      </w:pPr>
      <w:r>
        <w:rPr>
          <w:rStyle w:val="VerbatimChar"/>
        </w:rPr>
        <w:t xml:space="preserve">GET https://&lt;central-registry-url&gt;/api/findRegister?dataKey={dataKey}</w:t>
      </w:r>
    </w:p>
    <w:p>
      <w:r>
        <w:t xml:space="preserve">Намиране на всички регистри на дадена администрация:</w:t>
      </w:r>
    </w:p>
    <w:p>
      <w:pPr>
        <w:pStyle w:val="SourceCode"/>
      </w:pPr>
      <w:r>
        <w:rPr>
          <w:rStyle w:val="VerbatimChar"/>
        </w:rPr>
        <w:t xml:space="preserve">GET https://&lt;central-registry-url&gt;/api/findRegister?destinationId={destinationId}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0a66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23bad0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203883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4" Target="http://json-schema.org/example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json-schema.org/exampl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