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изисквания-към-качеството-на-системи-в-рамките-на-електронното-управление"/>
      <w:bookmarkEnd w:id="21"/>
      <w:r>
        <w:t xml:space="preserve">Изисквания към качеството на системи в рамките на електронното управление</w:t>
      </w:r>
    </w:p>
    <w:p>
      <w:pPr>
        <w:pStyle w:val="Heading1"/>
      </w:pPr>
      <w:bookmarkStart w:id="22" w:name="съдържание"/>
      <w:bookmarkEnd w:id="22"/>
      <w:r>
        <w:t xml:space="preserve">Съдържание</w:t>
      </w:r>
    </w:p>
    <w:p>
      <w:pPr>
        <w:pStyle w:val="Compact"/>
        <w:numPr>
          <w:numId w:val="1001"/>
          <w:ilvl w:val="0"/>
        </w:numPr>
      </w:pPr>
      <w:hyperlink w:anchor="1-Документация-на-интерфейсите">
        <w:r>
          <w:rPr>
            <w:rStyle w:val="Link"/>
          </w:rPr>
          <w:t xml:space="preserve">Документация на интерфейсите</w:t>
        </w:r>
      </w:hyperlink>
    </w:p>
    <w:p>
      <w:pPr>
        <w:pStyle w:val="Compact"/>
        <w:numPr>
          <w:numId w:val="1001"/>
          <w:ilvl w:val="0"/>
        </w:numPr>
      </w:pPr>
      <w:hyperlink w:anchor="2-Сигурност">
        <w:r>
          <w:rPr>
            <w:rStyle w:val="Link"/>
          </w:rPr>
          <w:t xml:space="preserve">Сигурност</w:t>
        </w:r>
      </w:hyperlink>
    </w:p>
    <w:p>
      <w:pPr>
        <w:pStyle w:val="Compact"/>
        <w:numPr>
          <w:numId w:val="1001"/>
          <w:ilvl w:val="0"/>
        </w:numPr>
      </w:pPr>
      <w:hyperlink w:anchor="3-SDK">
        <w:r>
          <w:rPr>
            <w:rStyle w:val="Link"/>
          </w:rPr>
          <w:t xml:space="preserve">SDK</w:t>
        </w:r>
      </w:hyperlink>
    </w:p>
    <w:p>
      <w:pPr>
        <w:pStyle w:val="Compact"/>
        <w:numPr>
          <w:numId w:val="1001"/>
          <w:ilvl w:val="0"/>
        </w:numPr>
      </w:pPr>
      <w:hyperlink w:anchor="4-Производителност">
        <w:r>
          <w:rPr>
            <w:rStyle w:val="Link"/>
          </w:rPr>
          <w:t xml:space="preserve">Производителност</w:t>
        </w:r>
      </w:hyperlink>
    </w:p>
    <w:p>
      <w:pPr>
        <w:pStyle w:val="Compact"/>
        <w:numPr>
          <w:numId w:val="1001"/>
          <w:ilvl w:val="0"/>
        </w:numPr>
      </w:pPr>
      <w:hyperlink w:anchor="5-Отказоустойчивост">
        <w:r>
          <w:rPr>
            <w:rStyle w:val="Link"/>
          </w:rPr>
          <w:t xml:space="preserve">Отказоустойчивост</w:t>
        </w:r>
      </w:hyperlink>
    </w:p>
    <w:p>
      <w:pPr>
        <w:pStyle w:val="Compact"/>
        <w:numPr>
          <w:numId w:val="1001"/>
          <w:ilvl w:val="0"/>
        </w:numPr>
      </w:pPr>
      <w:hyperlink w:anchor="6-Браузъри-и-уеб">
        <w:r>
          <w:rPr>
            <w:rStyle w:val="Link"/>
          </w:rPr>
          <w:t xml:space="preserve">Браузъри и уеб</w:t>
        </w:r>
      </w:hyperlink>
    </w:p>
    <w:p>
      <w:pPr>
        <w:pStyle w:val="Compact"/>
        <w:numPr>
          <w:numId w:val="1001"/>
          <w:ilvl w:val="0"/>
        </w:numPr>
      </w:pPr>
      <w:hyperlink w:anchor="7-Качество-на-софтуерната-разработка">
        <w:r>
          <w:rPr>
            <w:rStyle w:val="Link"/>
          </w:rPr>
          <w:t xml:space="preserve">Качество на софтуерната разработка</w:t>
        </w:r>
      </w:hyperlink>
    </w:p>
    <w:p>
      <w:r>
        <w:pict>
          <v:rect style="width:0;height:1.5pt" o:hralign="center" o:hrstd="t" o:hr="t"/>
        </w:pict>
      </w:r>
    </w:p>
    <w:p>
      <w:r>
        <w:t xml:space="preserve">Този документ описва изискванията към различни аспекти на качеството на изгражданите софтуерни системи.</w:t>
      </w:r>
    </w:p>
    <w:p>
      <w:pPr>
        <w:pStyle w:val="Heading3"/>
      </w:pPr>
      <w:bookmarkStart w:id="23" w:name="документация-на-интерфейсите"/>
      <w:bookmarkEnd w:id="23"/>
      <w:r>
        <w:t xml:space="preserve">1.</w:t>
      </w:r>
      <w:r>
        <w:t xml:space="preserve"> </w:t>
      </w:r>
      <w:r>
        <w:rPr>
          <w:b/>
        </w:rPr>
        <w:t xml:space="preserve">Документация на интерфейсите</w:t>
      </w:r>
    </w:p>
    <w:p>
      <w:pPr>
        <w:pStyle w:val="SourceCode"/>
      </w:pPr>
      <w:r>
        <w:rPr>
          <w:rStyle w:val="VerbatimChar"/>
        </w:rPr>
        <w:t xml:space="preserve">Всеки предоставен REST приложно-програмен интерфейс трябва да бъде</w:t>
      </w:r>
      <w:r>
        <w:br w:type="textWrapping"/>
      </w:r>
      <w:r>
        <w:rPr>
          <w:rStyle w:val="VerbatimChar"/>
        </w:rPr>
        <w:t xml:space="preserve">документиран чрез API Blueprint</w:t>
      </w:r>
      <w:r>
        <w:br w:type="textWrapping"/>
      </w:r>
      <w:r>
        <w:rPr>
          <w:rStyle w:val="VerbatimChar"/>
        </w:rPr>
        <w:t xml:space="preserve">(&lt;https://github.com/apiaryio/api-blueprint&gt;) или сходна технология.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Аналогично представяне е нужно и за SOAP интерфейсите.</w:t>
      </w:r>
    </w:p>
    <w:p>
      <w:pPr>
        <w:pStyle w:val="Heading3"/>
      </w:pPr>
      <w:bookmarkStart w:id="24" w:name="сигурност"/>
      <w:bookmarkEnd w:id="24"/>
      <w:r>
        <w:t xml:space="preserve">2.</w:t>
      </w:r>
      <w:r>
        <w:t xml:space="preserve"> </w:t>
      </w:r>
      <w:r>
        <w:rPr>
          <w:b/>
        </w:rPr>
        <w:t xml:space="preserve">Сигурност</w:t>
      </w:r>
    </w:p>
    <w:p>
      <w:pPr>
        <w:pStyle w:val="SourceCode"/>
      </w:pPr>
      <w:r>
        <w:rPr>
          <w:rStyle w:val="VerbatimChar"/>
        </w:rPr>
        <w:t xml:space="preserve">Следващите изисквания подлежат на промяна с цел да бъдат отразени</w:t>
      </w:r>
      <w:r>
        <w:br w:type="textWrapping"/>
      </w:r>
      <w:r>
        <w:rPr>
          <w:rStyle w:val="VerbatimChar"/>
        </w:rPr>
        <w:t xml:space="preserve">последните открития в сферата на информационната сигурност.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Имплементирането на промени в софтуерните системи в отговор на промените</w:t>
      </w:r>
      <w:r>
        <w:br w:type="textWrapping"/>
      </w:r>
      <w:r>
        <w:rPr>
          <w:rStyle w:val="VerbatimChar"/>
        </w:rPr>
        <w:t xml:space="preserve">в тези изисквания, които са в резултат на откритие на проблем със</w:t>
      </w:r>
      <w:r>
        <w:br w:type="textWrapping"/>
      </w:r>
      <w:r>
        <w:rPr>
          <w:rStyle w:val="VerbatimChar"/>
        </w:rPr>
        <w:t xml:space="preserve">сигурността, който може да доведе до изтичане на данни, трябва да се</w:t>
      </w:r>
      <w:r>
        <w:br w:type="textWrapping"/>
      </w:r>
      <w:r>
        <w:rPr>
          <w:rStyle w:val="VerbatimChar"/>
        </w:rPr>
        <w:t xml:space="preserve">случва незабавно.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 **Криптографски протоколи**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Комуникацията между интерфейсите трябва да се извършва през HTTPS</w:t>
      </w:r>
      <w:r>
        <w:br w:type="textWrapping"/>
      </w:r>
      <w:r>
        <w:rPr>
          <w:rStyle w:val="VerbatimChar"/>
        </w:rPr>
        <w:t xml:space="preserve">    протокол, с използване на минимум TLS 1.2 за сигурна автентикация и</w:t>
      </w:r>
      <w:r>
        <w:br w:type="textWrapping"/>
      </w:r>
      <w:r>
        <w:rPr>
          <w:rStyle w:val="VerbatimChar"/>
        </w:rPr>
        <w:t xml:space="preserve">    криптиране на канала.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Използването на доказано дефектни протоколи като SSL 1.0/2.0/3.0 е</w:t>
      </w:r>
      <w:r>
        <w:br w:type="textWrapping"/>
      </w:r>
      <w:r>
        <w:rPr>
          <w:rStyle w:val="VerbatimChar"/>
        </w:rPr>
        <w:t xml:space="preserve">    недопустимо.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При изграждане на нови проекти, следва да се използват последните версии</w:t>
      </w:r>
      <w:r>
        <w:br w:type="textWrapping"/>
      </w:r>
      <w:r>
        <w:rPr>
          <w:rStyle w:val="VerbatimChar"/>
        </w:rPr>
        <w:t xml:space="preserve">    на протоколите и алгоритмите.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При надграждане на съществуващите системи, където сървърите и средата не</w:t>
      </w:r>
      <w:r>
        <w:br w:type="textWrapping"/>
      </w:r>
      <w:r>
        <w:rPr>
          <w:rStyle w:val="VerbatimChar"/>
        </w:rPr>
        <w:t xml:space="preserve">    може да бъде приведена до последна версия, трябва да се използват</w:t>
      </w:r>
      <w:r>
        <w:br w:type="textWrapping"/>
      </w:r>
      <w:r>
        <w:rPr>
          <w:rStyle w:val="VerbatimChar"/>
        </w:rPr>
        <w:t xml:space="preserve">    максималните поддържани версии.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2.  **Комплекти от шифри**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Допустимите Cipher Suites за TLS 1.2 (ограничено подмножество, което</w:t>
      </w:r>
      <w:r>
        <w:br w:type="textWrapping"/>
      </w:r>
      <w:r>
        <w:rPr>
          <w:rStyle w:val="VerbatimChar"/>
        </w:rPr>
        <w:t xml:space="preserve">    вероятно ще влезе в TLS 1.3)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**Key exchange / agreement**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Ephemeral Diffie-Hellman (TLS\_DHE), parameters \&gt;3072 bit (не се</w:t>
      </w:r>
      <w:r>
        <w:br w:type="textWrapping"/>
      </w:r>
      <w:r>
        <w:rPr>
          <w:rStyle w:val="VerbatimChar"/>
        </w:rPr>
        <w:t xml:space="preserve">    поддържат преди Java 1.7)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Elliptic Curve Ephemeral Diffie-Hellman (TLS\_ECDHE) с елиптична крива с</w:t>
      </w:r>
      <w:r>
        <w:br w:type="textWrapping"/>
      </w:r>
      <w:r>
        <w:rPr>
          <w:rStyle w:val="VerbatimChar"/>
        </w:rPr>
        <w:t xml:space="preserve">    поне 256-бита големина на частния ключ, тъй като поддържат “Perfect</w:t>
      </w:r>
      <w:r>
        <w:br w:type="textWrapping"/>
      </w:r>
      <w:r>
        <w:rPr>
          <w:rStyle w:val="VerbatimChar"/>
        </w:rPr>
        <w:t xml:space="preserve">    Forward Secrecy”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**Authentication**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RSA с частен ключ с дължина поне 3072 бита(\&gt;=3072bit), ECDSA с</w:t>
      </w:r>
      <w:r>
        <w:br w:type="textWrapping"/>
      </w:r>
      <w:r>
        <w:rPr>
          <w:rStyle w:val="VerbatimChar"/>
        </w:rPr>
        <w:t xml:space="preserve">    елиптична крива с частен ключ с дължина поне 256 бита.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**Bulk ciphers**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AES-128, AES-256 в режим GCM или Galois/Counter Mode или друг</w:t>
      </w:r>
      <w:r>
        <w:br w:type="textWrapping"/>
      </w:r>
      <w:r>
        <w:rPr>
          <w:rStyle w:val="VerbatimChar"/>
        </w:rPr>
        <w:t xml:space="preserve">    authenticated encryption режим,.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**Hash-based Message Authentication Code**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SHA-256, SHA-384, SHA-512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**Позволени комбинации:**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TLS\_DHE\_RSA\_AES128\_GCM\_SHA256  </w:t>
      </w:r>
      <w:r>
        <w:br w:type="textWrapping"/>
      </w:r>
      <w:r>
        <w:rPr>
          <w:rStyle w:val="VerbatimChar"/>
        </w:rPr>
        <w:t xml:space="preserve">    TLS\_DHE\_RSA\_AES256\_GCM\_SHA384  </w:t>
      </w:r>
      <w:r>
        <w:br w:type="textWrapping"/>
      </w:r>
      <w:r>
        <w:rPr>
          <w:rStyle w:val="VerbatimChar"/>
        </w:rPr>
        <w:t xml:space="preserve">    TLS\_ECDHE\_RSA\_AES128\_GCM\_SHA256  </w:t>
      </w:r>
      <w:r>
        <w:br w:type="textWrapping"/>
      </w:r>
      <w:r>
        <w:rPr>
          <w:rStyle w:val="VerbatimChar"/>
        </w:rPr>
        <w:t xml:space="preserve">    TLS\_ECDHE\_RSA\_AES256\_GCM\_SHA384  </w:t>
      </w:r>
      <w:r>
        <w:br w:type="textWrapping"/>
      </w:r>
      <w:r>
        <w:rPr>
          <w:rStyle w:val="VerbatimChar"/>
        </w:rPr>
        <w:t xml:space="preserve">    TLS\_ECDHE\_ECDSA\_AES128\_GCM\_SHA256  </w:t>
      </w:r>
      <w:r>
        <w:br w:type="textWrapping"/>
      </w:r>
      <w:r>
        <w:rPr>
          <w:rStyle w:val="VerbatimChar"/>
        </w:rPr>
        <w:t xml:space="preserve">    TLS\_ECDHE\_ECDSA\_AES256\_GCM\_SHA384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3. **Уеб сигурност**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Изградените системи трябва да спазват добрите практики при защита от</w:t>
      </w:r>
      <w:r>
        <w:br w:type="textWrapping"/>
      </w:r>
      <w:r>
        <w:rPr>
          <w:rStyle w:val="VerbatimChar"/>
        </w:rPr>
        <w:t xml:space="preserve">    уеб-атаки като XSS, CSRF, SQLi и др.</w:t>
      </w:r>
      <w:r>
        <w:br w:type="textWrapping"/>
      </w:r>
      <w:r>
        <w:rPr>
          <w:rStyle w:val="VerbatimChar"/>
        </w:rPr>
        <w:t xml:space="preserve">    Минимумът от изисквания, които трябва да бъдат покрити, е описан от</w:t>
      </w:r>
      <w:r>
        <w:br w:type="textWrapping"/>
      </w:r>
      <w:r>
        <w:rPr>
          <w:rStyle w:val="VerbatimChar"/>
        </w:rPr>
        <w:t xml:space="preserve">    OWASP в &lt;a href="https://www.owasp.org/index.php/OWASP_Top_Ten_Cheat_Sheet"&gt;Top Ten Cheat Sheet&lt;/a&gt;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4. **Електронно подписване**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Когато е нужно електронно подписване, се прилага хеш функция върху</w:t>
      </w:r>
      <w:r>
        <w:br w:type="textWrapping"/>
      </w:r>
      <w:r>
        <w:rPr>
          <w:rStyle w:val="VerbatimChar"/>
        </w:rPr>
        <w:t xml:space="preserve">    документ, който се подписва, и резултатът от хеш функцията се подава към</w:t>
      </w:r>
      <w:r>
        <w:br w:type="textWrapping"/>
      </w:r>
      <w:r>
        <w:rPr>
          <w:rStyle w:val="VerbatimChar"/>
        </w:rPr>
        <w:t xml:space="preserve">    сигурното устройство (HSM/смарткарта) за подписване.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Електронното подписване става с използването на електронен печат на</w:t>
      </w:r>
      <w:r>
        <w:br w:type="textWrapping"/>
      </w:r>
      <w:r>
        <w:rPr>
          <w:rStyle w:val="VerbatimChar"/>
        </w:rPr>
        <w:t xml:space="preserve">    организацията. Този електронен печат следва да бъде одобрен от орган,</w:t>
      </w:r>
      <w:r>
        <w:br w:type="textWrapping"/>
      </w:r>
      <w:r>
        <w:rPr>
          <w:rStyle w:val="VerbatimChar"/>
        </w:rPr>
        <w:t xml:space="preserve">    който регулира издаването и използването им (CA към централния</w:t>
      </w:r>
      <w:r>
        <w:br w:type="textWrapping"/>
      </w:r>
      <w:r>
        <w:rPr>
          <w:rStyle w:val="VerbatimChar"/>
        </w:rPr>
        <w:t xml:space="preserve">    регистър). Електронните печати следва да могат да се използват от</w:t>
      </w:r>
      <w:r>
        <w:br w:type="textWrapping"/>
      </w:r>
      <w:r>
        <w:rPr>
          <w:rStyle w:val="VerbatimChar"/>
        </w:rPr>
        <w:t xml:space="preserve">    софтуера, който реализира услугите, без човешка намеса.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Когато потребител трябва да подпише документ, браузърите не предоставят</w:t>
      </w:r>
      <w:r>
        <w:br w:type="textWrapping"/>
      </w:r>
      <w:r>
        <w:rPr>
          <w:rStyle w:val="VerbatimChar"/>
        </w:rPr>
        <w:t xml:space="preserve">    стандартна функционалност, което води до нуждата от специфични и</w:t>
      </w:r>
      <w:r>
        <w:br w:type="textWrapping"/>
      </w:r>
      <w:r>
        <w:rPr>
          <w:rStyle w:val="VerbatimChar"/>
        </w:rPr>
        <w:t xml:space="preserve">    непреносими в различни браузъри решения. Тъй като всеки притежател на</w:t>
      </w:r>
      <w:r>
        <w:br w:type="textWrapping"/>
      </w:r>
      <w:r>
        <w:rPr>
          <w:rStyle w:val="VerbatimChar"/>
        </w:rPr>
        <w:t xml:space="preserve">    квалифициран електронен подпис разполага с desktop софтуер за електронно</w:t>
      </w:r>
      <w:r>
        <w:br w:type="textWrapping"/>
      </w:r>
      <w:r>
        <w:rPr>
          <w:rStyle w:val="VerbatimChar"/>
        </w:rPr>
        <w:t xml:space="preserve">    подписване, следва да се обмисли опция за качване на вече подписани</w:t>
      </w:r>
      <w:r>
        <w:br w:type="textWrapping"/>
      </w:r>
      <w:r>
        <w:rPr>
          <w:rStyle w:val="VerbatimChar"/>
        </w:rPr>
        <w:t xml:space="preserve">    файлове.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5. **Управление на пароли**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Паролите, когато се такива се използват в АИС-а, следва да бъдат</w:t>
      </w:r>
      <w:r>
        <w:br w:type="textWrapping"/>
      </w:r>
      <w:r>
        <w:rPr>
          <w:rStyle w:val="VerbatimChar"/>
        </w:rPr>
        <w:t xml:space="preserve">    съхранявани в базата данни след използване на алгоритми като bcrypt,</w:t>
      </w:r>
      <w:r>
        <w:br w:type="textWrapping"/>
      </w:r>
      <w:r>
        <w:rPr>
          <w:rStyle w:val="VerbatimChar"/>
        </w:rPr>
        <w:t xml:space="preserve">    scrypt или PBKDF2. Следва да имат и изискване за дължина, поне 6</w:t>
      </w:r>
      <w:r>
        <w:br w:type="textWrapping"/>
      </w:r>
      <w:r>
        <w:rPr>
          <w:rStyle w:val="VerbatimChar"/>
        </w:rPr>
        <w:t xml:space="preserve">    символа, и препоръка за използване на изрази, вместо единични думи.</w:t>
      </w:r>
    </w:p>
    <w:p>
      <w:pPr>
        <w:pStyle w:val="Heading3"/>
      </w:pPr>
      <w:bookmarkStart w:id="25" w:name="sdk"/>
      <w:bookmarkEnd w:id="25"/>
      <w:r>
        <w:t xml:space="preserve">3.</w:t>
      </w:r>
      <w:r>
        <w:t xml:space="preserve"> </w:t>
      </w:r>
      <w:r>
        <w:rPr>
          <w:b/>
        </w:rPr>
        <w:t xml:space="preserve">SDK</w:t>
      </w:r>
    </w:p>
    <w:p>
      <w:pPr>
        <w:pStyle w:val="SourceCode"/>
      </w:pPr>
      <w:r>
        <w:rPr>
          <w:rStyle w:val="VerbatimChar"/>
        </w:rPr>
        <w:t xml:space="preserve">Всеки АИС (вкл. регистрите) трябва да предоставя SDK-и за достъп до</w:t>
      </w:r>
      <w:r>
        <w:br w:type="textWrapping"/>
      </w:r>
      <w:r>
        <w:rPr>
          <w:rStyle w:val="VerbatimChar"/>
        </w:rPr>
        <w:t xml:space="preserve">уеб-услугите си на езика, на който е разработен АИС-а. При разработване</w:t>
      </w:r>
      <w:r>
        <w:br w:type="textWrapping"/>
      </w:r>
      <w:r>
        <w:rPr>
          <w:rStyle w:val="VerbatimChar"/>
        </w:rPr>
        <w:t xml:space="preserve">на АИС-и-консуматори на друг програмен език, те предоставят за публично</w:t>
      </w:r>
      <w:r>
        <w:br w:type="textWrapping"/>
      </w:r>
      <w:r>
        <w:rPr>
          <w:rStyle w:val="VerbatimChar"/>
        </w:rPr>
        <w:t xml:space="preserve">ползване SDK-и, които са написали.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Базови SDK, включващи компоненти за достъп до стандартизирания процес по</w:t>
      </w:r>
      <w:r>
        <w:br w:type="textWrapping"/>
      </w:r>
      <w:r>
        <w:rPr>
          <w:rStyle w:val="VerbatimChar"/>
        </w:rPr>
        <w:t xml:space="preserve">заявяване на данни (описан в т.6) ще бъдат налични от централния</w:t>
      </w:r>
      <w:r>
        <w:br w:type="textWrapping"/>
      </w:r>
      <w:r>
        <w:rPr>
          <w:rStyle w:val="VerbatimChar"/>
        </w:rPr>
        <w:t xml:space="preserve">координатор, а специфичните SDK-и за всеки АИС трябва да ги надграждат.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При идентифициране на функционалност, необходима в множество проекти, </w:t>
      </w:r>
      <w:r>
        <w:br w:type="textWrapping"/>
      </w:r>
      <w:r>
        <w:rPr>
          <w:rStyle w:val="VerbatimChar"/>
        </w:rPr>
        <w:t xml:space="preserve">тя трябва да бъде отделена в отделна библиотека (SDK).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SDK-ите трябва да бъдат публикувани в стандартните хранилища за</w:t>
      </w:r>
      <w:r>
        <w:br w:type="textWrapping"/>
      </w:r>
      <w:r>
        <w:rPr>
          <w:rStyle w:val="VerbatimChar"/>
        </w:rPr>
        <w:t xml:space="preserve">библиотеки (напр. Maven Central, NuGet, PEAR), като параметрите за</w:t>
      </w:r>
      <w:r>
        <w:br w:type="textWrapping"/>
      </w:r>
      <w:r>
        <w:rPr>
          <w:rStyle w:val="VerbatimChar"/>
        </w:rPr>
        <w:t xml:space="preserve">тяхното включване в други проекти трябва да бъдат дефиниране в README</w:t>
      </w:r>
      <w:r>
        <w:br w:type="textWrapping"/>
      </w:r>
      <w:r>
        <w:rPr>
          <w:rStyle w:val="VerbatimChar"/>
        </w:rPr>
        <w:t xml:space="preserve">файл в хранилището на проекта.</w:t>
      </w:r>
    </w:p>
    <w:p>
      <w:pPr>
        <w:pStyle w:val="Heading3"/>
      </w:pPr>
      <w:bookmarkStart w:id="26" w:name="производителност"/>
      <w:bookmarkEnd w:id="26"/>
      <w:r>
        <w:t xml:space="preserve">4.</w:t>
      </w:r>
      <w:r>
        <w:t xml:space="preserve"> </w:t>
      </w:r>
      <w:r>
        <w:rPr>
          <w:b/>
        </w:rPr>
        <w:t xml:space="preserve">Производителност</w:t>
      </w:r>
    </w:p>
    <w:p>
      <w:pPr>
        <w:pStyle w:val="SourceCode"/>
      </w:pPr>
      <w:r>
        <w:rPr>
          <w:rStyle w:val="VerbatimChar"/>
        </w:rPr>
        <w:t xml:space="preserve">-   Всяка система трябва да поддържа т.нар. rate-limiting -</w:t>
      </w:r>
      <w:r>
        <w:br w:type="textWrapping"/>
      </w:r>
      <w:r>
        <w:rPr>
          <w:rStyle w:val="VerbatimChar"/>
        </w:rPr>
        <w:t xml:space="preserve">    механизъм, ограничаващ всеки заявител до не повече от определен</w:t>
      </w:r>
      <w:r>
        <w:br w:type="textWrapping"/>
      </w:r>
      <w:r>
        <w:rPr>
          <w:rStyle w:val="VerbatimChar"/>
        </w:rPr>
        <w:t xml:space="preserve">    брой заявки в секунда. Примерен отговор при достигане на лимита</w:t>
      </w:r>
      <w:r>
        <w:br w:type="textWrapping"/>
      </w:r>
      <w:r>
        <w:rPr>
          <w:rStyle w:val="VerbatimChar"/>
        </w:rPr>
        <w:t xml:space="preserve">    изглежда така: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429 Too Many Requests</w:t>
      </w:r>
      <w:r>
        <w:br w:type="textWrapping"/>
      </w:r>
      <w:r>
        <w:rPr>
          <w:rStyle w:val="VerbatimChar"/>
        </w:rPr>
        <w:t xml:space="preserve">Content-Type: application/json</w:t>
      </w:r>
      <w:r>
        <w:br w:type="textWrapping"/>
      </w:r>
      <w:r>
        <w:rPr>
          <w:rStyle w:val="VerbatimChar"/>
        </w:rPr>
        <w:t xml:space="preserve">Rate-Limit: 200.00</w:t>
      </w:r>
      <w:r>
        <w:br w:type="textWrapping"/>
      </w: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"error": {</w:t>
      </w:r>
      <w:r>
        <w:br w:type="textWrapping"/>
      </w:r>
      <w:r>
        <w:rPr>
          <w:rStyle w:val="VerbatimChar"/>
        </w:rPr>
        <w:t xml:space="preserve">        "description":"The request rate limit of 200.0 requests/s is exceeded."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кеш - следва да се използват различни видове кешове, с цел избягване</w:t>
      </w:r>
      <w:r>
        <w:br w:type="textWrapping"/>
      </w:r>
      <w:r>
        <w:rPr>
          <w:rStyle w:val="VerbatimChar"/>
        </w:rPr>
        <w:t xml:space="preserve">    на излишно четене от диск или от мрежов ресурс. Основен кандидат за</w:t>
      </w:r>
      <w:r>
        <w:br w:type="textWrapping"/>
      </w:r>
      <w:r>
        <w:rPr>
          <w:rStyle w:val="VerbatimChar"/>
        </w:rPr>
        <w:t xml:space="preserve">    кеширане е достъпът до базата данни. Системата за кеширане може да</w:t>
      </w:r>
      <w:r>
        <w:br w:type="textWrapping"/>
      </w:r>
      <w:r>
        <w:rPr>
          <w:rStyle w:val="VerbatimChar"/>
        </w:rPr>
        <w:t xml:space="preserve">    бъде локална (в текущата виртуална машина/процес) или разпределена.</w:t>
      </w:r>
      <w:r>
        <w:br w:type="textWrapping"/>
      </w:r>
      <w:r>
        <w:rPr>
          <w:rStyle w:val="VerbatimChar"/>
        </w:rPr>
        <w:t xml:space="preserve">    Някои разпределени системи за кеш са: Redis, Infinispan, EhCache,</w:t>
      </w:r>
      <w:r>
        <w:br w:type="textWrapping"/>
      </w:r>
      <w:r>
        <w:rPr>
          <w:rStyle w:val="VerbatimChar"/>
        </w:rPr>
        <w:t xml:space="preserve">    JBoss DataGrid, Memcached, AppFabric Caching, Hazelcast...</w:t>
      </w:r>
      <w:r>
        <w:br w:type="textWrapping"/>
      </w:r>
      <w:r>
        <w:rPr>
          <w:rStyle w:val="VerbatimChar"/>
        </w:rPr>
        <w:t xml:space="preserve">    Кои елементи/завки/извиквания да бъдат кеширани зависи от анализ на </w:t>
      </w:r>
      <w:r>
        <w:br w:type="textWrapping"/>
      </w:r>
      <w:r>
        <w:rPr>
          <w:rStyle w:val="VerbatimChar"/>
        </w:rPr>
        <w:t xml:space="preserve">    тяхното използване. Кешът може да има негативен ефект, в зависимост </w:t>
      </w:r>
      <w:r>
        <w:br w:type="textWrapping"/>
      </w:r>
      <w:r>
        <w:rPr>
          <w:rStyle w:val="VerbatimChar"/>
        </w:rPr>
        <w:t xml:space="preserve">    от hit-to-miss съотношението. </w:t>
      </w:r>
      <w:r>
        <w:br w:type="textWrapping"/>
      </w:r>
      <w:r>
        <w:rPr>
          <w:rStyle w:val="VerbatimChar"/>
        </w:rPr>
        <w:t xml:space="preserve">    Препоръчваната политика за изтриване на елементи от кеша </w:t>
      </w:r>
      <w:r>
        <w:br w:type="textWrapping"/>
      </w:r>
      <w:r>
        <w:rPr>
          <w:rStyle w:val="VerbatimChar"/>
        </w:rPr>
        <w:t xml:space="preserve">    при препълване на LRU (least recently used)</w:t>
      </w:r>
      <w:r>
        <w:br w:type="textWrapping"/>
      </w:r>
      <w:r>
        <w:rPr>
          <w:rStyle w:val="VerbatimChar"/>
        </w:rPr>
        <w:t xml:space="preserve">    Регистрите не трябва да предоставят остарели данни. При промяна на </w:t>
      </w:r>
      <w:r>
        <w:br w:type="textWrapping"/>
      </w:r>
      <w:r>
        <w:rPr>
          <w:rStyle w:val="VerbatimChar"/>
        </w:rPr>
        <w:t xml:space="preserve">    даден запис, съответният елемент в кеша трябва да става невалиден.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опашки - системите могат да обработват заявки чрез опашки, например</w:t>
      </w:r>
      <w:r>
        <w:br w:type="textWrapping"/>
      </w:r>
      <w:r>
        <w:rPr>
          <w:rStyle w:val="VerbatimChar"/>
        </w:rPr>
        <w:t xml:space="preserve">    за заявки, очакващи асинхронен (ASYNC) отговор. Заб: заявка за</w:t>
      </w:r>
      <w:r>
        <w:br w:type="textWrapping"/>
      </w:r>
      <w:r>
        <w:rPr>
          <w:rStyle w:val="VerbatimChar"/>
        </w:rPr>
        <w:t xml:space="preserve">    обиРегистрите не трябва да предоставят остарели данни. При промяна</w:t>
      </w:r>
      <w:r>
        <w:br w:type="textWrapping"/>
      </w:r>
      <w:r>
        <w:rPr>
          <w:rStyle w:val="VerbatimChar"/>
        </w:rPr>
        <w:t xml:space="preserve">    на даден запис, съответният елемент в кеша трябва да става</w:t>
      </w:r>
      <w:r>
        <w:br w:type="textWrapping"/>
      </w:r>
      <w:r>
        <w:rPr>
          <w:rStyle w:val="VerbatimChar"/>
        </w:rPr>
        <w:t xml:space="preserve">    невалиден. Обикновено четене от базата данни по принцип не би следвало да има</w:t>
      </w:r>
      <w:r>
        <w:br w:type="textWrapping"/>
      </w:r>
      <w:r>
        <w:rPr>
          <w:rStyle w:val="VerbatimChar"/>
        </w:rPr>
        <w:t xml:space="preserve">    нужда от опашка.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времето за отговор на всяка заявка за данни към първичен</w:t>
      </w:r>
      <w:r>
        <w:br w:type="textWrapping"/>
      </w:r>
      <w:r>
        <w:rPr>
          <w:rStyle w:val="VerbatimChar"/>
        </w:rPr>
        <w:t xml:space="preserve">    регистър трябва да е не повече от 200 милисекунди при стандартно</w:t>
      </w:r>
      <w:r>
        <w:br w:type="textWrapping"/>
      </w:r>
      <w:r>
        <w:rPr>
          <w:rStyle w:val="VerbatimChar"/>
        </w:rPr>
        <w:t xml:space="preserve">    натоварване.</w:t>
      </w:r>
    </w:p>
    <w:p>
      <w:pPr>
        <w:pStyle w:val="Heading3"/>
      </w:pPr>
      <w:bookmarkStart w:id="27" w:name="отказоустойчивост"/>
      <w:bookmarkEnd w:id="27"/>
      <w:r>
        <w:t xml:space="preserve">5.</w:t>
      </w:r>
      <w:r>
        <w:t xml:space="preserve"> </w:t>
      </w:r>
      <w:r>
        <w:rPr>
          <w:b/>
        </w:rPr>
        <w:t xml:space="preserve">Отказоустойчивост</w:t>
      </w:r>
    </w:p>
    <w:p>
      <w:pPr>
        <w:pStyle w:val="SourceCode"/>
      </w:pPr>
      <w:r>
        <w:rPr>
          <w:rStyle w:val="VerbatimChar"/>
        </w:rPr>
        <w:t xml:space="preserve">Всеки АИС трябва да е напълно функционален дори при нарушение на части</w:t>
      </w:r>
      <w:r>
        <w:br w:type="textWrapping"/>
      </w:r>
      <w:r>
        <w:rPr>
          <w:rStyle w:val="VerbatimChar"/>
        </w:rPr>
        <w:t xml:space="preserve">от софтуерната, хардуерната и мрежовата инфраструктура: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приложните сървъри трябва да бъдат в клъстер и да са поне два.</w:t>
      </w:r>
      <w:r>
        <w:br w:type="textWrapping"/>
      </w:r>
      <w:r>
        <w:rPr>
          <w:rStyle w:val="VerbatimChar"/>
        </w:rPr>
        <w:t xml:space="preserve">    Препоръчително е в самите сървъри да няма съдържание (т.е. да бъдат</w:t>
      </w:r>
      <w:r>
        <w:br w:type="textWrapping"/>
      </w:r>
      <w:r>
        <w:rPr>
          <w:rStyle w:val="VerbatimChar"/>
        </w:rPr>
        <w:t xml:space="preserve">    stateless), което да позволи хоризонтално мащабиране.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трябва да се използва т.нар. load balancer за балансиране на</w:t>
      </w:r>
      <w:r>
        <w:br w:type="textWrapping"/>
      </w:r>
      <w:r>
        <w:rPr>
          <w:rStyle w:val="VerbatimChar"/>
        </w:rPr>
        <w:t xml:space="preserve">    натоварването към приложните сървъри.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сървърите за данни трябва или да бъдат в клъстер (ако системата за</w:t>
      </w:r>
      <w:r>
        <w:br w:type="textWrapping"/>
      </w:r>
      <w:r>
        <w:rPr>
          <w:rStyle w:val="VerbatimChar"/>
        </w:rPr>
        <w:t xml:space="preserve">    управление на бази данни го позволява), или да поддържат т.нар.</w:t>
      </w:r>
      <w:r>
        <w:br w:type="textWrapping"/>
      </w:r>
      <w:r>
        <w:rPr>
          <w:rStyle w:val="VerbatimChar"/>
        </w:rPr>
        <w:t xml:space="preserve">    failover към друг сървър, към който основният се репликира.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  Ако даден АИС (вкл. първичен регистър) не отговори успешно, заявките</w:t>
      </w:r>
      <w:r>
        <w:br w:type="textWrapping"/>
      </w:r>
      <w:r>
        <w:rPr>
          <w:rStyle w:val="VerbatimChar"/>
        </w:rPr>
        <w:t xml:space="preserve">    се маркират като “незавършени” в системата на заявителя и се</w:t>
      </w:r>
      <w:r>
        <w:br w:type="textWrapping"/>
      </w:r>
      <w:r>
        <w:rPr>
          <w:rStyle w:val="VerbatimChar"/>
        </w:rPr>
        <w:t xml:space="preserve">    изпълняват отново след време.</w:t>
      </w:r>
    </w:p>
    <w:p>
      <w:pPr>
        <w:pStyle w:val="Heading3"/>
      </w:pPr>
      <w:bookmarkStart w:id="28" w:name="браузъри-и-уеб"/>
      <w:bookmarkEnd w:id="28"/>
      <w:r>
        <w:t xml:space="preserve">6.</w:t>
      </w:r>
      <w:r>
        <w:t xml:space="preserve"> </w:t>
      </w:r>
      <w:r>
        <w:rPr>
          <w:b/>
        </w:rPr>
        <w:t xml:space="preserve">Браузъри и уеб</w:t>
      </w:r>
    </w:p>
    <w:p>
      <w:pPr>
        <w:pStyle w:val="SourceCode"/>
      </w:pPr>
      <w:r>
        <w:rPr>
          <w:rStyle w:val="VerbatimChar"/>
        </w:rPr>
        <w:t xml:space="preserve">Интернет-приложенията трябва да работят и изглеждат по еднакъв начин на</w:t>
      </w:r>
      <w:r>
        <w:br w:type="textWrapping"/>
      </w:r>
      <w:r>
        <w:rPr>
          <w:rStyle w:val="VerbatimChar"/>
        </w:rPr>
        <w:t xml:space="preserve">последните две версии на браузъри с над 10% пазарен дял. Не се допуска</w:t>
      </w:r>
      <w:r>
        <w:br w:type="textWrapping"/>
      </w:r>
      <w:r>
        <w:rPr>
          <w:rStyle w:val="VerbatimChar"/>
        </w:rPr>
        <w:t xml:space="preserve">някоя система да работи “само на Internet Explorer”, например.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Не трябва да се разчита на допълнителни браузърни приставки или разширения</w:t>
      </w:r>
      <w:r>
        <w:br w:type="textWrapping"/>
      </w:r>
      <w:r>
        <w:rPr>
          <w:rStyle w:val="VerbatimChar"/>
        </w:rPr>
        <w:t xml:space="preserve">от страна на клиента за тяхното нормално функциониране, с изключение на </w:t>
      </w:r>
      <w:r>
        <w:br w:type="textWrapping"/>
      </w:r>
      <w:r>
        <w:rPr>
          <w:rStyle w:val="VerbatimChar"/>
        </w:rPr>
        <w:t xml:space="preserve">функционалността по електронно подписване. За електронно подписване се </w:t>
      </w:r>
      <w:r>
        <w:br w:type="textWrapping"/>
      </w:r>
      <w:r>
        <w:rPr>
          <w:rStyle w:val="VerbatimChar"/>
        </w:rPr>
        <w:t xml:space="preserve">препоръчва използването на &lt;a href="http://open-eid.github.io/"&gt;естонския подход&lt;/a&gt;.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Публичният интерфейс на всяка система трябва да бъде удобен за ползване</w:t>
      </w:r>
      <w:r>
        <w:br w:type="textWrapping"/>
      </w:r>
      <w:r>
        <w:rPr>
          <w:rStyle w:val="VerbatimChar"/>
        </w:rPr>
        <w:t xml:space="preserve">чрез мобилни устройства, като за целта е желателно интерфейса автоматично</w:t>
      </w:r>
      <w:r>
        <w:br w:type="textWrapping"/>
      </w:r>
      <w:r>
        <w:rPr>
          <w:rStyle w:val="VerbatimChar"/>
        </w:rPr>
        <w:t xml:space="preserve">да се оразмерява, в зависимост от размера на екрана (responsive). </w:t>
      </w:r>
      <w:r>
        <w:br w:type="textWrapping"/>
      </w:r>
      <w:r>
        <w:rPr>
          <w:rStyle w:val="VerbatimChar"/>
        </w:rPr>
        <w:t xml:space="preserve">Създаването на напълно отделна мобилна версия на интерфейса е нежелателно.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Публичната част на всяка система трябва да има валиден цифров</w:t>
      </w:r>
      <w:r>
        <w:br w:type="textWrapping"/>
      </w:r>
      <w:r>
        <w:rPr>
          <w:rStyle w:val="VerbatimChar"/>
        </w:rPr>
        <w:t xml:space="preserve">сертификат, издаден от разпознато в браузърите Certificate Authority.</w:t>
      </w:r>
    </w:p>
    <w:p>
      <w:pPr>
        <w:pStyle w:val="Heading3"/>
      </w:pPr>
      <w:bookmarkStart w:id="29" w:name="качество-на-софтуерната-разработка"/>
      <w:bookmarkEnd w:id="29"/>
      <w:r>
        <w:t xml:space="preserve">7.</w:t>
      </w:r>
      <w:r>
        <w:t xml:space="preserve"> </w:t>
      </w:r>
      <w:r>
        <w:rPr>
          <w:b/>
        </w:rPr>
        <w:t xml:space="preserve">Качество на софтуерната разработка</w:t>
      </w:r>
    </w:p>
    <w:p>
      <w:pPr>
        <w:pStyle w:val="SourceCode"/>
      </w:pPr>
      <w:r>
        <w:rPr>
          <w:rStyle w:val="VerbatimChar"/>
        </w:rPr>
        <w:t xml:space="preserve">Разработката на софтуерните решения трябва да следва съвременни добри практики. Това включва: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Документиране на компонентите в изходния код</w:t>
      </w:r>
      <w:r>
        <w:br w:type="textWrapping"/>
      </w:r>
      <w:r>
        <w:rPr>
          <w:rStyle w:val="VerbatimChar"/>
        </w:rPr>
        <w:t xml:space="preserve">- Покритие на минимум 50% от изходния код с тестове</w:t>
      </w:r>
      <w:r>
        <w:br w:type="textWrapping"/>
      </w:r>
      <w:r>
        <w:rPr>
          <w:rStyle w:val="VerbatimChar"/>
        </w:rPr>
        <w:t xml:space="preserve">- Възможност за инсталация с една команда</w:t>
      </w:r>
      <w:r>
        <w:br w:type="textWrapping"/>
      </w:r>
      <w:r>
        <w:rPr>
          <w:rStyle w:val="VerbatimChar"/>
        </w:rPr>
        <w:t xml:space="preserve">- Използване на т.нар. Continuous integration</w:t>
      </w:r>
      <w:r>
        <w:br w:type="textWrapping"/>
      </w:r>
      <w:r>
        <w:rPr>
          <w:rStyle w:val="VerbatimChar"/>
        </w:rPr>
        <w:t xml:space="preserve">- Използване на т.нар. Dependency management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9e12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6804c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