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drawings/drawing1.xml" ContentType="application/vnd.openxmlformats-officedocument.drawingml.chartshap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A1998" w:rsidRDefault="009D6DA0">
      <w:bookmarkStart w:id="0" w:name="_GoBack"/>
      <w:r w:rsidRPr="009D6DA0">
        <w:rPr>
          <w:noProof/>
          <w:lang w:val="en-US"/>
        </w:rPr>
        <w:drawing>
          <wp:inline distT="0" distB="0" distL="0" distR="0">
            <wp:extent cx="5448300" cy="3638145"/>
            <wp:effectExtent l="19050" t="0" r="19050" b="4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bookmarkEnd w:id="0"/>
    <w:p w:rsidR="009D6DA0" w:rsidRDefault="009D6DA0"/>
    <w:p w:rsidR="009D6DA0" w:rsidRDefault="009D6DA0">
      <w:r w:rsidRPr="009D6DA0">
        <w:rPr>
          <w:noProof/>
          <w:lang w:val="en-US"/>
        </w:rPr>
        <w:drawing>
          <wp:inline distT="0" distB="0" distL="0" distR="0">
            <wp:extent cx="5447895" cy="3618689"/>
            <wp:effectExtent l="19050" t="0" r="19455" b="811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sectPr w:rsidR="009D6DA0" w:rsidSect="009A199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6DA0"/>
    <w:rsid w:val="000F1F54"/>
    <w:rsid w:val="009A1998"/>
    <w:rsid w:val="009D6DA0"/>
    <w:rsid w:val="009E3D50"/>
    <w:rsid w:val="00B844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A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A199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D6D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DA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hart" Target="charts/chart1.xml"/><Relationship Id="rId6" Type="http://schemas.openxmlformats.org/officeDocument/2006/relationships/chart" Target="charts/chart2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file:///L:\charities\PCS%20stats.xls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L:\charities\PCS%20stats.xls" TargetMode="External"/><Relationship Id="rId2" Type="http://schemas.openxmlformats.org/officeDocument/2006/relationships/chartUserShapes" Target="../drawings/drawing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Relative UK Cancer</a:t>
            </a:r>
            <a:r>
              <a:rPr lang="en-US" baseline="0"/>
              <a:t> research spend (£)</a:t>
            </a:r>
          </a:p>
          <a:p>
            <a:pPr>
              <a:defRPr/>
            </a:pPr>
            <a:r>
              <a:rPr lang="en-US"/>
              <a:t>(top ten cancer deaths) </a:t>
            </a:r>
          </a:p>
        </c:rich>
      </c:tx>
      <c:layout/>
      <c:overlay val="0"/>
    </c:title>
    <c:autoTitleDeleted val="0"/>
    <c:view3D>
      <c:rotX val="30"/>
      <c:rotY val="0"/>
      <c:rAngAx val="0"/>
      <c:perspective val="30"/>
    </c:view3D>
    <c:floor>
      <c:thickness val="0"/>
    </c:floor>
    <c:sideWall>
      <c:thickness val="0"/>
    </c:sideWall>
    <c:backWall>
      <c:thickness val="0"/>
    </c:backWall>
    <c:plotArea>
      <c:layout/>
      <c:pie3DChart>
        <c:varyColors val="1"/>
        <c:ser>
          <c:idx val="0"/>
          <c:order val="0"/>
          <c:tx>
            <c:strRef>
              <c:f>Sheet1!$L$5</c:f>
              <c:strCache>
                <c:ptCount val="1"/>
                <c:pt idx="0">
                  <c:v>Funding </c:v>
                </c:pt>
              </c:strCache>
            </c:strRef>
          </c:tx>
          <c:explosion val="25"/>
          <c:dPt>
            <c:idx val="4"/>
            <c:bubble3D val="0"/>
            <c:spPr>
              <a:solidFill>
                <a:srgbClr val="FF0000"/>
              </a:solidFill>
            </c:spPr>
          </c:dPt>
          <c:dLbls>
            <c:txPr>
              <a:bodyPr/>
              <a:lstStyle/>
              <a:p>
                <a:pPr>
                  <a:defRPr sz="1600" b="1"/>
                </a:pPr>
                <a:endParaRPr lang="en-US"/>
              </a:p>
            </c:txPr>
            <c:showLegendKey val="0"/>
            <c:showVal val="0"/>
            <c:showCatName val="1"/>
            <c:showSerName val="0"/>
            <c:showPercent val="0"/>
            <c:showBubbleSize val="0"/>
            <c:showLeaderLines val="1"/>
          </c:dLbls>
          <c:cat>
            <c:strRef>
              <c:f>Sheet1!$K$6:$K$14</c:f>
              <c:strCache>
                <c:ptCount val="9"/>
                <c:pt idx="0">
                  <c:v>Lung</c:v>
                </c:pt>
                <c:pt idx="1">
                  <c:v>Colon and Rectal</c:v>
                </c:pt>
                <c:pt idx="2">
                  <c:v>Oes/Gastric </c:v>
                </c:pt>
                <c:pt idx="3">
                  <c:v>Breast</c:v>
                </c:pt>
                <c:pt idx="4">
                  <c:v>Pancreas</c:v>
                </c:pt>
                <c:pt idx="5">
                  <c:v>Prostate</c:v>
                </c:pt>
                <c:pt idx="6">
                  <c:v>Bladder</c:v>
                </c:pt>
                <c:pt idx="7">
                  <c:v>Ovarian</c:v>
                </c:pt>
                <c:pt idx="8">
                  <c:v>Leukaemia</c:v>
                </c:pt>
              </c:strCache>
            </c:strRef>
          </c:cat>
          <c:val>
            <c:numRef>
              <c:f>Sheet1!$L$6:$L$14</c:f>
              <c:numCache>
                <c:formatCode>_-* #,##0_-;\-* #,##0_-;_-* "-"??_-;_-@_-</c:formatCode>
                <c:ptCount val="9"/>
                <c:pt idx="0">
                  <c:v>6.10692728591817E6</c:v>
                </c:pt>
                <c:pt idx="1">
                  <c:v>2.33825265013348E7</c:v>
                </c:pt>
                <c:pt idx="2" formatCode="0">
                  <c:v>2.9489453787253E7</c:v>
                </c:pt>
                <c:pt idx="3">
                  <c:v>2.8718953826815E7</c:v>
                </c:pt>
                <c:pt idx="4">
                  <c:v>1.91720546272727E6</c:v>
                </c:pt>
                <c:pt idx="5">
                  <c:v>1.16760469771175E7</c:v>
                </c:pt>
                <c:pt idx="6">
                  <c:v>2.69637889633874E6</c:v>
                </c:pt>
                <c:pt idx="7">
                  <c:v>7.70555219282518E6</c:v>
                </c:pt>
                <c:pt idx="8">
                  <c:v>2.56027445983326E7</c:v>
                </c:pt>
              </c:numCache>
            </c:numRef>
          </c:val>
        </c:ser>
        <c:dLbls>
          <c:showLegendKey val="0"/>
          <c:showVal val="0"/>
          <c:showCatName val="1"/>
          <c:showSerName val="0"/>
          <c:showPercent val="0"/>
          <c:showBubbleSize val="0"/>
          <c:showLeaderLines val="1"/>
        </c:dLbls>
      </c:pie3DChart>
      <c:spPr>
        <a:noFill/>
        <a:ln w="25400">
          <a:noFill/>
        </a:ln>
      </c:spPr>
    </c:plotArea>
    <c:plotVisOnly val="1"/>
    <c:dispBlanksAs val="zero"/>
    <c:showDLblsOverMax val="0"/>
  </c:chart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/>
              <a:t>Relative research funding / death spent by </a:t>
            </a:r>
          </a:p>
          <a:p>
            <a:pPr>
              <a:defRPr/>
            </a:pPr>
            <a:r>
              <a:rPr lang="en-US"/>
              <a:t>cancer type </a:t>
            </a:r>
          </a:p>
        </c:rich>
      </c:tx>
      <c:layout>
        <c:manualLayout>
          <c:xMode val="edge"/>
          <c:yMode val="edge"/>
          <c:x val="0.201976079043162"/>
          <c:y val="0.0276052449965494"/>
        </c:manualLayout>
      </c:layout>
      <c:overlay val="0"/>
    </c:title>
    <c:autoTitleDeleted val="0"/>
    <c:plotArea>
      <c:layout>
        <c:manualLayout>
          <c:layoutTarget val="inner"/>
          <c:xMode val="edge"/>
          <c:yMode val="edge"/>
          <c:x val="0.146971800131848"/>
          <c:y val="0.117846790890269"/>
          <c:w val="0.830147284631543"/>
          <c:h val="0.578706574721638"/>
        </c:manualLayout>
      </c:layout>
      <c:barChart>
        <c:barDir val="col"/>
        <c:grouping val="clustered"/>
        <c:varyColors val="0"/>
        <c:ser>
          <c:idx val="0"/>
          <c:order val="0"/>
          <c:tx>
            <c:strRef>
              <c:f>Sheet1!$T$5</c:f>
              <c:strCache>
                <c:ptCount val="1"/>
                <c:pt idx="0">
                  <c:v>£ spent per death </c:v>
                </c:pt>
              </c:strCache>
            </c:strRef>
          </c:tx>
          <c:spPr>
            <a:solidFill>
              <a:srgbClr val="FF0000"/>
            </a:solidFill>
          </c:spPr>
          <c:invertIfNegative val="0"/>
          <c:cat>
            <c:strRef>
              <c:f>Sheet1!$S$6:$S$22</c:f>
              <c:strCache>
                <c:ptCount val="17"/>
                <c:pt idx="0">
                  <c:v>Lung</c:v>
                </c:pt>
                <c:pt idx="1">
                  <c:v>Pancreas</c:v>
                </c:pt>
                <c:pt idx="2">
                  <c:v>Bladder</c:v>
                </c:pt>
                <c:pt idx="3">
                  <c:v>Brain</c:v>
                </c:pt>
                <c:pt idx="4">
                  <c:v>Myeloma</c:v>
                </c:pt>
                <c:pt idx="5">
                  <c:v>Colon and Rectal</c:v>
                </c:pt>
                <c:pt idx="6">
                  <c:v>Oes/Gastric </c:v>
                </c:pt>
                <c:pt idx="7">
                  <c:v>Prostate</c:v>
                </c:pt>
                <c:pt idx="8">
                  <c:v>Melanoma</c:v>
                </c:pt>
                <c:pt idx="9">
                  <c:v>Ovarian</c:v>
                </c:pt>
                <c:pt idx="10">
                  <c:v>Non-Hodgkin's lymphoma</c:v>
                </c:pt>
                <c:pt idx="11">
                  <c:v>Breast</c:v>
                </c:pt>
                <c:pt idx="12">
                  <c:v>Sarcoma</c:v>
                </c:pt>
                <c:pt idx="13">
                  <c:v>Cervical</c:v>
                </c:pt>
                <c:pt idx="14">
                  <c:v>Leukaemia</c:v>
                </c:pt>
                <c:pt idx="15">
                  <c:v>Skin</c:v>
                </c:pt>
                <c:pt idx="16">
                  <c:v>Hodgkin's disease</c:v>
                </c:pt>
              </c:strCache>
            </c:strRef>
          </c:cat>
          <c:val>
            <c:numRef>
              <c:f>Sheet1!$T$6:$T$22</c:f>
              <c:numCache>
                <c:formatCode>0.00</c:formatCode>
                <c:ptCount val="17"/>
                <c:pt idx="0">
                  <c:v>0.524724491523126</c:v>
                </c:pt>
                <c:pt idx="1">
                  <c:v>0.999833359527136</c:v>
                </c:pt>
                <c:pt idx="2">
                  <c:v>2.26496053788508</c:v>
                </c:pt>
                <c:pt idx="3">
                  <c:v>2.356033800430187</c:v>
                </c:pt>
                <c:pt idx="4">
                  <c:v>4.314502804517332</c:v>
                </c:pt>
                <c:pt idx="5">
                  <c:v>5.418736769232591</c:v>
                </c:pt>
                <c:pt idx="6">
                  <c:v>5.943461260755718</c:v>
                </c:pt>
                <c:pt idx="7">
                  <c:v>6.09794854530228</c:v>
                </c:pt>
                <c:pt idx="8">
                  <c:v>6.293055918326616</c:v>
                </c:pt>
                <c:pt idx="9">
                  <c:v>6.941938912455123</c:v>
                </c:pt>
                <c:pt idx="10">
                  <c:v>8.473558633171336</c:v>
                </c:pt>
                <c:pt idx="11">
                  <c:v>10.24670549525111</c:v>
                </c:pt>
                <c:pt idx="12">
                  <c:v>10.70664238945209</c:v>
                </c:pt>
                <c:pt idx="13">
                  <c:v>20.80124743270932</c:v>
                </c:pt>
                <c:pt idx="14">
                  <c:v>24.73515889991797</c:v>
                </c:pt>
                <c:pt idx="15">
                  <c:v>26.57615082299118</c:v>
                </c:pt>
                <c:pt idx="16">
                  <c:v>33.72842069269269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axId val="2098372952"/>
        <c:axId val="2098373608"/>
      </c:barChart>
      <c:catAx>
        <c:axId val="2098372952"/>
        <c:scaling>
          <c:orientation val="minMax"/>
        </c:scaling>
        <c:delete val="0"/>
        <c:axPos val="b"/>
        <c:numFmt formatCode="0" sourceLinked="1"/>
        <c:majorTickMark val="out"/>
        <c:minorTickMark val="none"/>
        <c:tickLblPos val="nextTo"/>
        <c:txPr>
          <a:bodyPr/>
          <a:lstStyle/>
          <a:p>
            <a:pPr>
              <a:defRPr sz="1050" b="1"/>
            </a:pPr>
            <a:endParaRPr lang="en-US"/>
          </a:p>
        </c:txPr>
        <c:crossAx val="2098373608"/>
        <c:crosses val="autoZero"/>
        <c:auto val="1"/>
        <c:lblAlgn val="ctr"/>
        <c:lblOffset val="100"/>
        <c:noMultiLvlLbl val="0"/>
      </c:catAx>
      <c:valAx>
        <c:axId val="2098373608"/>
        <c:scaling>
          <c:orientation val="minMax"/>
        </c:scaling>
        <c:delete val="0"/>
        <c:axPos val="l"/>
        <c:numFmt formatCode="0.00" sourceLinked="1"/>
        <c:majorTickMark val="out"/>
        <c:minorTickMark val="none"/>
        <c:tickLblPos val="nextTo"/>
        <c:txPr>
          <a:bodyPr/>
          <a:lstStyle/>
          <a:p>
            <a:pPr>
              <a:defRPr sz="1100" b="1"/>
            </a:pPr>
            <a:endParaRPr lang="en-US"/>
          </a:p>
        </c:txPr>
        <c:crossAx val="2098372952"/>
        <c:crosses val="autoZero"/>
        <c:crossBetween val="between"/>
      </c:valAx>
    </c:plotArea>
    <c:plotVisOnly val="1"/>
    <c:dispBlanksAs val="gap"/>
    <c:showDLblsOverMax val="0"/>
  </c:chart>
  <c:externalData r:id="rId1">
    <c:autoUpdate val="0"/>
  </c:externalData>
  <c:userShapes r:id="rId2"/>
</c:chartSpace>
</file>

<file path=word/drawings/drawing1.xml><?xml version="1.0" encoding="utf-8"?>
<c:userShapes xmlns:c="http://schemas.openxmlformats.org/drawingml/2006/chart">
  <cdr:relSizeAnchor xmlns:cdr="http://schemas.openxmlformats.org/drawingml/2006/chartDrawing">
    <cdr:from>
      <cdr:x>0.02184</cdr:x>
      <cdr:y>0.31056</cdr:y>
    </cdr:from>
    <cdr:to>
      <cdr:x>0.06708</cdr:x>
      <cdr:y>0.37474</cdr:y>
    </cdr:to>
    <cdr:sp macro="" textlink="">
      <cdr:nvSpPr>
        <cdr:cNvPr id="2" name="TextBox 1"/>
        <cdr:cNvSpPr txBox="1"/>
      </cdr:nvSpPr>
      <cdr:spPr>
        <a:xfrm xmlns:a="http://schemas.openxmlformats.org/drawingml/2006/main">
          <a:off x="133351" y="1428751"/>
          <a:ext cx="276225" cy="295275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vertOverflow="clip" wrap="none" rtlCol="0"/>
        <a:lstStyle xmlns:a="http://schemas.openxmlformats.org/drawingml/2006/main"/>
        <a:p xmlns:a="http://schemas.openxmlformats.org/drawingml/2006/main">
          <a:r>
            <a:rPr lang="en-US" sz="1600" b="1"/>
            <a:t>£</a:t>
          </a:r>
        </a:p>
      </cdr:txBody>
    </cdr:sp>
  </cdr:relSizeAnchor>
  <cdr:relSizeAnchor xmlns:cdr="http://schemas.openxmlformats.org/drawingml/2006/chartDrawing">
    <cdr:from>
      <cdr:x>0.21841</cdr:x>
      <cdr:y>0.35197</cdr:y>
    </cdr:from>
    <cdr:to>
      <cdr:x>0.21997</cdr:x>
      <cdr:y>0.54244</cdr:y>
    </cdr:to>
    <cdr:sp macro="" textlink="">
      <cdr:nvSpPr>
        <cdr:cNvPr id="4" name="Straight Arrow Connector 3"/>
        <cdr:cNvSpPr/>
      </cdr:nvSpPr>
      <cdr:spPr>
        <a:xfrm xmlns:a="http://schemas.openxmlformats.org/drawingml/2006/main" rot="16200000" flipH="1">
          <a:off x="900112" y="2052638"/>
          <a:ext cx="876301" cy="9526"/>
        </a:xfrm>
        <a:prstGeom xmlns:a="http://schemas.openxmlformats.org/drawingml/2006/main" prst="straightConnector1">
          <a:avLst/>
        </a:prstGeom>
        <a:ln xmlns:a="http://schemas.openxmlformats.org/drawingml/2006/main" w="44450" cmpd="sng">
          <a:solidFill>
            <a:schemeClr val="tx1"/>
          </a:solidFill>
          <a:tailEnd type="arrow"/>
        </a:ln>
      </cdr:spPr>
      <cdr:style>
        <a:lnRef xmlns:a="http://schemas.openxmlformats.org/drawingml/2006/main" idx="1">
          <a:schemeClr val="accent1"/>
        </a:lnRef>
        <a:fillRef xmlns:a="http://schemas.openxmlformats.org/drawingml/2006/main" idx="0">
          <a:schemeClr val="accent1"/>
        </a:fillRef>
        <a:effectRef xmlns:a="http://schemas.openxmlformats.org/drawingml/2006/main" idx="0">
          <a:schemeClr val="accent1"/>
        </a:effectRef>
        <a:fontRef xmlns:a="http://schemas.openxmlformats.org/drawingml/2006/main" idx="minor">
          <a:schemeClr val="tx1"/>
        </a:fontRef>
      </cdr:style>
      <cdr:txBody>
        <a:bodyPr xmlns:a="http://schemas.openxmlformats.org/drawingml/2006/main" vertOverflow="clip"/>
        <a:lstStyle xmlns:a="http://schemas.openxmlformats.org/drawingml/2006/main"/>
        <a:p xmlns:a="http://schemas.openxmlformats.org/drawingml/2006/main">
          <a:endParaRPr lang="en-GB"/>
        </a:p>
      </cdr:txBody>
    </cdr:sp>
  </cdr:relSizeAnchor>
  <cdr:relSizeAnchor xmlns:cdr="http://schemas.openxmlformats.org/drawingml/2006/chartDrawing">
    <cdr:from>
      <cdr:x>0.18253</cdr:x>
      <cdr:y>0.27329</cdr:y>
    </cdr:from>
    <cdr:to>
      <cdr:x>0.26365</cdr:x>
      <cdr:y>0.34576</cdr:y>
    </cdr:to>
    <cdr:sp macro="" textlink="">
      <cdr:nvSpPr>
        <cdr:cNvPr id="5" name="TextBox 1"/>
        <cdr:cNvSpPr txBox="1"/>
      </cdr:nvSpPr>
      <cdr:spPr>
        <a:xfrm xmlns:a="http://schemas.openxmlformats.org/drawingml/2006/main">
          <a:off x="1114425" y="1257300"/>
          <a:ext cx="495301" cy="333376"/>
        </a:xfrm>
        <a:prstGeom xmlns:a="http://schemas.openxmlformats.org/drawingml/2006/main" prst="rect">
          <a:avLst/>
        </a:prstGeom>
      </cdr:spPr>
      <cdr:txBody>
        <a:bodyPr xmlns:a="http://schemas.openxmlformats.org/drawingml/2006/main" wrap="none" rtlCol="0"/>
        <a:lstStyle xmlns:a="http://schemas.openxmlformats.org/drawingml/2006/main">
          <a:lvl1pPr marL="0" indent="0">
            <a:defRPr sz="1100">
              <a:latin typeface="Calibri"/>
            </a:defRPr>
          </a:lvl1pPr>
          <a:lvl2pPr marL="457200" indent="0">
            <a:defRPr sz="1100">
              <a:latin typeface="Calibri"/>
            </a:defRPr>
          </a:lvl2pPr>
          <a:lvl3pPr marL="914400" indent="0">
            <a:defRPr sz="1100">
              <a:latin typeface="Calibri"/>
            </a:defRPr>
          </a:lvl3pPr>
          <a:lvl4pPr marL="1371600" indent="0">
            <a:defRPr sz="1100">
              <a:latin typeface="Calibri"/>
            </a:defRPr>
          </a:lvl4pPr>
          <a:lvl5pPr marL="1828800" indent="0">
            <a:defRPr sz="1100">
              <a:latin typeface="Calibri"/>
            </a:defRPr>
          </a:lvl5pPr>
          <a:lvl6pPr marL="2286000" indent="0">
            <a:defRPr sz="1100">
              <a:latin typeface="Calibri"/>
            </a:defRPr>
          </a:lvl6pPr>
          <a:lvl7pPr marL="2743200" indent="0">
            <a:defRPr sz="1100">
              <a:latin typeface="Calibri"/>
            </a:defRPr>
          </a:lvl7pPr>
          <a:lvl8pPr marL="3200400" indent="0">
            <a:defRPr sz="1100">
              <a:latin typeface="Calibri"/>
            </a:defRPr>
          </a:lvl8pPr>
          <a:lvl9pPr marL="3657600" indent="0">
            <a:defRPr sz="1100">
              <a:latin typeface="Calibri"/>
            </a:defRPr>
          </a:lvl9pPr>
        </a:lstStyle>
        <a:p xmlns:a="http://schemas.openxmlformats.org/drawingml/2006/main">
          <a:r>
            <a:rPr lang="en-US" sz="1600" b="1"/>
            <a:t>£1</a:t>
          </a:r>
        </a:p>
      </cdr:txBody>
    </cdr:sp>
  </cdr:relSizeAnchor>
</c:userShape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Macintosh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ross</dc:creator>
  <cp:lastModifiedBy>Ross Carter</cp:lastModifiedBy>
  <cp:revision>2</cp:revision>
  <cp:lastPrinted>2011-06-20T17:56:00Z</cp:lastPrinted>
  <dcterms:created xsi:type="dcterms:W3CDTF">2015-11-07T14:06:00Z</dcterms:created>
  <dcterms:modified xsi:type="dcterms:W3CDTF">2015-11-07T14:06:00Z</dcterms:modified>
</cp:coreProperties>
</file>