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280"/>
        <w:jc w:val="center"/>
      </w:pPr>
      <w:r>
        <w:rPr>
          <w:rFonts w:ascii="Calibri" w:hAnsi="Calibri"/>
          <w:b/>
          <w:color w:val="B7791F"/>
          <w:sz w:val="20"/>
        </w:rPr>
        <w:t>PORTFOLIO CASE STUDY</w:t>
      </w:r>
    </w:p>
    <w:p>
      <w:pPr>
        <w:spacing w:after="160"/>
        <w:jc w:val="center"/>
      </w:pPr>
      <w:r>
        <w:rPr>
          <w:rFonts w:ascii="Calibri" w:hAnsi="Calibri"/>
          <w:b/>
          <w:color w:val="17365D"/>
          <w:sz w:val="56"/>
        </w:rPr>
        <w:t>Revenue Quality &amp;</w:t>
        <w:br/>
        <w:t>Customer Profitability</w:t>
      </w:r>
    </w:p>
    <w:p>
      <w:pPr>
        <w:spacing w:after="680"/>
        <w:jc w:val="center"/>
      </w:pPr>
      <w:r>
        <w:rPr>
          <w:rFonts w:ascii="Calibri" w:hAnsi="Calibri"/>
          <w:color w:val="607184"/>
          <w:sz w:val="27"/>
        </w:rPr>
        <w:t>A distributor company case study | Recognized-period analysis, 2018-2024</w:t>
      </w:r>
    </w:p>
    <w:p>
      <w:pPr>
        <w:spacing w:before="80" w:after="160"/>
        <w:ind w:left="173" w:right="173"/>
        <w:shd w:fill="D9EAF7"/>
        <w:pBdr>
          <w:left w:val="single" w:sz="18" w:space="8" w:color="2E74B5"/>
        </w:pBdr>
      </w:pPr>
      <w:r>
        <w:rPr>
          <w:rFonts w:ascii="Calibri" w:hAnsi="Calibri"/>
          <w:b/>
          <w:color w:val="17365D"/>
          <w:sz w:val="22"/>
        </w:rPr>
        <w:t>The company has grown while improving gross profit and margin. The next priorities are to protect the largest customer segment, improve weaker margins in other large segments, and focus outreach on recently valuable inactive customers.</w:t>
      </w:r>
    </w:p>
    <w:p>
      <w:pPr>
        <w:spacing w:before="760"/>
        <w:jc w:val="center"/>
      </w:pPr>
      <w:r>
        <w:rPr>
          <w:rFonts w:ascii="Calibri" w:hAnsi="Calibri"/>
          <w:i/>
          <w:color w:val="607184"/>
          <w:sz w:val="20"/>
        </w:rPr>
        <w:t>Business report | SQL and analyst outputs available in the companion repository</w:t>
      </w:r>
    </w:p>
    <w:p>
      <w:r>
        <w:br w:type="page"/>
      </w:r>
    </w:p>
    <w:p>
      <w:pPr>
        <w:pStyle w:val="Heading1"/>
        <w:keepNext/>
      </w:pPr>
      <w:r>
        <w:t>Executive Summary</w:t>
      </w:r>
    </w:p>
    <w:p>
      <w:pPr>
        <w:keepLines/>
      </w:pPr>
      <w:r>
        <w:rPr>
          <w:rFonts w:ascii="Calibri" w:hAnsi="Calibri"/>
          <w:color w:val="20384A"/>
          <w:sz w:val="22"/>
        </w:rPr>
        <w:t>The company has a healthy financial history. Revenue increased every year from 2018 through 2024, gross profit grew faster than revenue, and gross margin improved. The company is not dependent on a few individual customers, but it does depend heavily on the Independent Retail segment.</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5600"/>
        <w:gridCol w:w="3760"/>
      </w:tblGrid>
      <w:tr>
        <w:trPr>
          <w:tblHeader w:val="true"/>
        </w:trPr>
        <w:tc>
          <w:tcPr>
            <w:tcW w:type="dxa" w:w="5600"/>
            <w:tcMar>
              <w:top w:w="80" w:type="dxa"/>
              <w:start w:w="120" w:type="dxa"/>
              <w:bottom w:w="80" w:type="dxa"/>
              <w:end w:w="120" w:type="dxa"/>
            </w:tcMar>
            <w:shd w:fill="F2F4F7"/>
            <w:vAlign w:val="center"/>
          </w:tcPr>
          <w:p>
            <w:pPr>
              <w:spacing w:after="0"/>
            </w:pPr>
            <w:r>
              <w:rPr>
                <w:rFonts w:ascii="Calibri" w:hAnsi="Calibri"/>
                <w:b/>
                <w:color w:val="17365D"/>
                <w:sz w:val="18"/>
              </w:rPr>
              <w:t>Final measure</w:t>
            </w:r>
          </w:p>
        </w:tc>
        <w:tc>
          <w:tcPr>
            <w:tcW w:type="dxa" w:w="3760"/>
            <w:tcMar>
              <w:top w:w="80" w:type="dxa"/>
              <w:start w:w="120" w:type="dxa"/>
              <w:bottom w:w="80" w:type="dxa"/>
              <w:end w:w="120" w:type="dxa"/>
            </w:tcMar>
            <w:shd w:fill="F2F4F7"/>
            <w:vAlign w:val="center"/>
          </w:tcPr>
          <w:p>
            <w:pPr>
              <w:spacing w:after="0"/>
            </w:pPr>
            <w:r>
              <w:rPr>
                <w:rFonts w:ascii="Calibri" w:hAnsi="Calibri"/>
                <w:b/>
                <w:color w:val="17365D"/>
                <w:sz w:val="18"/>
              </w:rPr>
              <w:t>Result</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2018-2024 revenue growth</w:t>
            </w:r>
          </w:p>
        </w:tc>
        <w:tc>
          <w:tcPr>
            <w:tcW w:type="dxa" w:w="3760"/>
            <w:vAlign w:val="center"/>
            <w:tcMar>
              <w:top w:w="80" w:type="dxa"/>
              <w:start w:w="120" w:type="dxa"/>
              <w:bottom w:w="80" w:type="dxa"/>
              <w:end w:w="120" w:type="dxa"/>
            </w:tcMar>
          </w:tcPr>
          <w:p>
            <w:pPr>
              <w:spacing w:after="0"/>
            </w:pPr>
            <w:r>
              <w:rPr>
                <w:rFonts w:ascii="Calibri" w:hAnsi="Calibri"/>
                <w:color w:val="20384A"/>
                <w:sz w:val="18"/>
              </w:rPr>
              <w:t>65.0% ($79.4M to $131.0M)</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2018-2024 gross-profit growth</w:t>
            </w:r>
          </w:p>
        </w:tc>
        <w:tc>
          <w:tcPr>
            <w:tcW w:type="dxa" w:w="3760"/>
            <w:vAlign w:val="center"/>
            <w:tcMar>
              <w:top w:w="80" w:type="dxa"/>
              <w:start w:w="120" w:type="dxa"/>
              <w:bottom w:w="80" w:type="dxa"/>
              <w:end w:w="120" w:type="dxa"/>
            </w:tcMar>
          </w:tcPr>
          <w:p>
            <w:pPr>
              <w:spacing w:after="0"/>
            </w:pPr>
            <w:r>
              <w:rPr>
                <w:rFonts w:ascii="Calibri" w:hAnsi="Calibri"/>
                <w:color w:val="20384A"/>
                <w:sz w:val="18"/>
              </w:rPr>
              <w:t>89.6% ($15.2M to $28.8M)</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Gross-margin change</w:t>
            </w:r>
          </w:p>
        </w:tc>
        <w:tc>
          <w:tcPr>
            <w:tcW w:type="dxa" w:w="3760"/>
            <w:vAlign w:val="center"/>
            <w:tcMar>
              <w:top w:w="80" w:type="dxa"/>
              <w:start w:w="120" w:type="dxa"/>
              <w:bottom w:w="80" w:type="dxa"/>
              <w:end w:w="120" w:type="dxa"/>
            </w:tcMar>
          </w:tcPr>
          <w:p>
            <w:pPr>
              <w:spacing w:after="0"/>
            </w:pPr>
            <w:r>
              <w:rPr>
                <w:rFonts w:ascii="Calibri" w:hAnsi="Calibri"/>
                <w:color w:val="20384A"/>
                <w:sz w:val="18"/>
              </w:rPr>
              <w:t>+2.86 percentage points</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Largest segment revenue share</w:t>
            </w:r>
          </w:p>
        </w:tc>
        <w:tc>
          <w:tcPr>
            <w:tcW w:type="dxa" w:w="3760"/>
            <w:vAlign w:val="center"/>
            <w:tcMar>
              <w:top w:w="80" w:type="dxa"/>
              <w:start w:w="120" w:type="dxa"/>
              <w:bottom w:w="80" w:type="dxa"/>
              <w:end w:w="120" w:type="dxa"/>
            </w:tcMar>
          </w:tcPr>
          <w:p>
            <w:pPr>
              <w:spacing w:after="0"/>
            </w:pPr>
            <w:r>
              <w:rPr>
                <w:rFonts w:ascii="Calibri" w:hAnsi="Calibri"/>
                <w:color w:val="20384A"/>
                <w:sz w:val="18"/>
              </w:rPr>
              <w:t>48.75%</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Largest customer revenue share</w:t>
            </w:r>
          </w:p>
        </w:tc>
        <w:tc>
          <w:tcPr>
            <w:tcW w:type="dxa" w:w="3760"/>
            <w:vAlign w:val="center"/>
            <w:tcMar>
              <w:top w:w="80" w:type="dxa"/>
              <w:start w:w="120" w:type="dxa"/>
              <w:bottom w:w="80" w:type="dxa"/>
              <w:end w:w="120" w:type="dxa"/>
            </w:tcMar>
          </w:tcPr>
          <w:p>
            <w:pPr>
              <w:spacing w:after="0"/>
            </w:pPr>
            <w:r>
              <w:rPr>
                <w:rFonts w:ascii="Calibri" w:hAnsi="Calibri"/>
                <w:color w:val="20384A"/>
                <w:sz w:val="18"/>
              </w:rPr>
              <w:t>1.13%</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Trailing revenue baseline at risk</w:t>
            </w:r>
          </w:p>
        </w:tc>
        <w:tc>
          <w:tcPr>
            <w:tcW w:type="dxa" w:w="3760"/>
            <w:vAlign w:val="center"/>
            <w:tcMar>
              <w:top w:w="80" w:type="dxa"/>
              <w:start w:w="120" w:type="dxa"/>
              <w:bottom w:w="80" w:type="dxa"/>
              <w:end w:w="120" w:type="dxa"/>
            </w:tcMar>
          </w:tcPr>
          <w:p>
            <w:pPr>
              <w:spacing w:after="0"/>
            </w:pPr>
            <w:r>
              <w:rPr>
                <w:rFonts w:ascii="Calibri" w:hAnsi="Calibri"/>
                <w:color w:val="20384A"/>
                <w:sz w:val="18"/>
              </w:rPr>
              <w:t>$23.0M (17.60% of 2024 revenue)</w:t>
            </w:r>
          </w:p>
        </w:tc>
      </w:tr>
    </w:tbl>
    <w:p>
      <w:pPr>
        <w:pStyle w:val="Heading2"/>
        <w:keepNext/>
      </w:pPr>
      <w:r>
        <w:t>What leadership should do</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900"/>
        <w:gridCol w:w="4230"/>
        <w:gridCol w:w="4230"/>
      </w:tblGrid>
      <w:tr>
        <w:trPr>
          <w:tblHeader w:val="true"/>
        </w:trPr>
        <w:tc>
          <w:tcPr>
            <w:tcW w:type="dxa" w:w="900"/>
            <w:tcMar>
              <w:top w:w="80" w:type="dxa"/>
              <w:start w:w="120" w:type="dxa"/>
              <w:bottom w:w="80" w:type="dxa"/>
              <w:end w:w="120" w:type="dxa"/>
            </w:tcMar>
            <w:shd w:fill="F2F4F7"/>
            <w:vAlign w:val="center"/>
          </w:tcPr>
          <w:p>
            <w:pPr>
              <w:spacing w:after="0"/>
            </w:pPr>
            <w:r>
              <w:rPr>
                <w:rFonts w:ascii="Calibri" w:hAnsi="Calibri"/>
                <w:b/>
                <w:color w:val="17365D"/>
                <w:sz w:val="18"/>
              </w:rPr>
              <w:t>Priority</w:t>
            </w:r>
          </w:p>
        </w:tc>
        <w:tc>
          <w:tcPr>
            <w:tcW w:type="dxa" w:w="4230"/>
            <w:tcMar>
              <w:top w:w="80" w:type="dxa"/>
              <w:start w:w="120" w:type="dxa"/>
              <w:bottom w:w="80" w:type="dxa"/>
              <w:end w:w="120" w:type="dxa"/>
            </w:tcMar>
            <w:shd w:fill="F2F4F7"/>
            <w:vAlign w:val="center"/>
          </w:tcPr>
          <w:p>
            <w:pPr>
              <w:spacing w:after="0"/>
            </w:pPr>
            <w:r>
              <w:rPr>
                <w:rFonts w:ascii="Calibri" w:hAnsi="Calibri"/>
                <w:b/>
                <w:color w:val="17365D"/>
                <w:sz w:val="18"/>
              </w:rPr>
              <w:t>Action</w:t>
            </w:r>
          </w:p>
        </w:tc>
        <w:tc>
          <w:tcPr>
            <w:tcW w:type="dxa" w:w="4230"/>
            <w:tcMar>
              <w:top w:w="80" w:type="dxa"/>
              <w:start w:w="120" w:type="dxa"/>
              <w:bottom w:w="80" w:type="dxa"/>
              <w:end w:w="120" w:type="dxa"/>
            </w:tcMar>
            <w:shd w:fill="F2F4F7"/>
            <w:vAlign w:val="center"/>
          </w:tcPr>
          <w:p>
            <w:pPr>
              <w:spacing w:after="0"/>
            </w:pPr>
            <w:r>
              <w:rPr>
                <w:rFonts w:ascii="Calibri" w:hAnsi="Calibri"/>
                <w:b/>
                <w:color w:val="17365D"/>
                <w:sz w:val="18"/>
              </w:rPr>
              <w:t>Expected benefit</w:t>
            </w:r>
          </w:p>
        </w:tc>
      </w:tr>
      <w:tr>
        <w:tc>
          <w:tcPr>
            <w:tcW w:type="dxa" w:w="900"/>
            <w:vAlign w:val="center"/>
            <w:tcMar>
              <w:top w:w="80" w:type="dxa"/>
              <w:start w:w="120" w:type="dxa"/>
              <w:bottom w:w="80" w:type="dxa"/>
              <w:end w:w="120" w:type="dxa"/>
            </w:tcMar>
          </w:tcPr>
          <w:p>
            <w:pPr>
              <w:spacing w:after="0"/>
            </w:pPr>
            <w:r>
              <w:rPr>
                <w:rFonts w:ascii="Calibri" w:hAnsi="Calibri"/>
                <w:color w:val="20384A"/>
                <w:sz w:val="18"/>
              </w:rPr>
              <w:t>1</w:t>
            </w:r>
          </w:p>
        </w:tc>
        <w:tc>
          <w:tcPr>
            <w:tcW w:type="dxa" w:w="4230"/>
            <w:vAlign w:val="center"/>
            <w:tcMar>
              <w:top w:w="80" w:type="dxa"/>
              <w:start w:w="120" w:type="dxa"/>
              <w:bottom w:w="80" w:type="dxa"/>
              <w:end w:w="120" w:type="dxa"/>
            </w:tcMar>
          </w:tcPr>
          <w:p>
            <w:pPr>
              <w:spacing w:after="0"/>
            </w:pPr>
            <w:r>
              <w:rPr>
                <w:rFonts w:ascii="Calibri" w:hAnsi="Calibri"/>
                <w:color w:val="20384A"/>
                <w:sz w:val="18"/>
              </w:rPr>
              <w:t>Protect Independent Retail and test smaller high-margin segments</w:t>
            </w:r>
          </w:p>
        </w:tc>
        <w:tc>
          <w:tcPr>
            <w:tcW w:type="dxa" w:w="4230"/>
            <w:vAlign w:val="center"/>
            <w:tcMar>
              <w:top w:w="80" w:type="dxa"/>
              <w:start w:w="120" w:type="dxa"/>
              <w:bottom w:w="80" w:type="dxa"/>
              <w:end w:w="120" w:type="dxa"/>
            </w:tcMar>
          </w:tcPr>
          <w:p>
            <w:pPr>
              <w:spacing w:after="0"/>
            </w:pPr>
            <w:r>
              <w:rPr>
                <w:rFonts w:ascii="Calibri" w:hAnsi="Calibri"/>
                <w:color w:val="20384A"/>
                <w:sz w:val="18"/>
              </w:rPr>
              <w:t>Protect the largest source of profit and add other sources of growth</w:t>
            </w:r>
          </w:p>
        </w:tc>
      </w:tr>
      <w:tr>
        <w:tc>
          <w:tcPr>
            <w:tcW w:type="dxa" w:w="900"/>
            <w:vAlign w:val="center"/>
            <w:tcMar>
              <w:top w:w="80" w:type="dxa"/>
              <w:start w:w="120" w:type="dxa"/>
              <w:bottom w:w="80" w:type="dxa"/>
              <w:end w:w="120" w:type="dxa"/>
            </w:tcMar>
          </w:tcPr>
          <w:p>
            <w:pPr>
              <w:spacing w:after="0"/>
            </w:pPr>
            <w:r>
              <w:rPr>
                <w:rFonts w:ascii="Calibri" w:hAnsi="Calibri"/>
                <w:color w:val="20384A"/>
                <w:sz w:val="18"/>
              </w:rPr>
              <w:t>2</w:t>
            </w:r>
          </w:p>
        </w:tc>
        <w:tc>
          <w:tcPr>
            <w:tcW w:type="dxa" w:w="4230"/>
            <w:vAlign w:val="center"/>
            <w:tcMar>
              <w:top w:w="80" w:type="dxa"/>
              <w:start w:w="120" w:type="dxa"/>
              <w:bottom w:w="80" w:type="dxa"/>
              <w:end w:w="120" w:type="dxa"/>
            </w:tcMar>
          </w:tcPr>
          <w:p>
            <w:pPr>
              <w:spacing w:after="0"/>
            </w:pPr>
            <w:r>
              <w:rPr>
                <w:rFonts w:ascii="Calibri" w:hAnsi="Calibri"/>
                <w:color w:val="20384A"/>
                <w:sz w:val="18"/>
              </w:rPr>
              <w:t>Contact recent, high-value inactive customers first</w:t>
            </w:r>
          </w:p>
        </w:tc>
        <w:tc>
          <w:tcPr>
            <w:tcW w:type="dxa" w:w="4230"/>
            <w:vAlign w:val="center"/>
            <w:tcMar>
              <w:top w:w="80" w:type="dxa"/>
              <w:start w:w="120" w:type="dxa"/>
              <w:bottom w:w="80" w:type="dxa"/>
              <w:end w:w="120" w:type="dxa"/>
            </w:tcMar>
          </w:tcPr>
          <w:p>
            <w:pPr>
              <w:spacing w:after="0"/>
            </w:pPr>
            <w:r>
              <w:rPr>
                <w:rFonts w:ascii="Calibri" w:hAnsi="Calibri"/>
                <w:color w:val="20384A"/>
                <w:sz w:val="18"/>
              </w:rPr>
              <w:t>Use sales time on customers with the clearest recent value</w:t>
            </w:r>
          </w:p>
        </w:tc>
      </w:tr>
      <w:tr>
        <w:tc>
          <w:tcPr>
            <w:tcW w:type="dxa" w:w="900"/>
            <w:vAlign w:val="center"/>
            <w:tcMar>
              <w:top w:w="80" w:type="dxa"/>
              <w:start w:w="120" w:type="dxa"/>
              <w:bottom w:w="80" w:type="dxa"/>
              <w:end w:w="120" w:type="dxa"/>
            </w:tcMar>
          </w:tcPr>
          <w:p>
            <w:pPr>
              <w:spacing w:after="0"/>
            </w:pPr>
            <w:r>
              <w:rPr>
                <w:rFonts w:ascii="Calibri" w:hAnsi="Calibri"/>
                <w:color w:val="20384A"/>
                <w:sz w:val="18"/>
              </w:rPr>
              <w:t>3</w:t>
            </w:r>
          </w:p>
        </w:tc>
        <w:tc>
          <w:tcPr>
            <w:tcW w:type="dxa" w:w="4230"/>
            <w:vAlign w:val="center"/>
            <w:tcMar>
              <w:top w:w="80" w:type="dxa"/>
              <w:start w:w="120" w:type="dxa"/>
              <w:bottom w:w="80" w:type="dxa"/>
              <w:end w:w="120" w:type="dxa"/>
            </w:tcMar>
          </w:tcPr>
          <w:p>
            <w:pPr>
              <w:spacing w:after="0"/>
            </w:pPr>
            <w:r>
              <w:rPr>
                <w:rFonts w:ascii="Calibri" w:hAnsi="Calibri"/>
                <w:color w:val="20384A"/>
                <w:sz w:val="18"/>
              </w:rPr>
              <w:t>Review margins in large segments such as Wholesale Trade</w:t>
            </w:r>
          </w:p>
        </w:tc>
        <w:tc>
          <w:tcPr>
            <w:tcW w:type="dxa" w:w="4230"/>
            <w:vAlign w:val="center"/>
            <w:tcMar>
              <w:top w:w="80" w:type="dxa"/>
              <w:start w:w="120" w:type="dxa"/>
              <w:bottom w:w="80" w:type="dxa"/>
              <w:end w:w="120" w:type="dxa"/>
            </w:tcMar>
          </w:tcPr>
          <w:p>
            <w:pPr>
              <w:spacing w:after="0"/>
            </w:pPr>
            <w:r>
              <w:rPr>
                <w:rFonts w:ascii="Calibri" w:hAnsi="Calibri"/>
                <w:color w:val="20384A"/>
                <w:sz w:val="18"/>
              </w:rPr>
              <w:t>Add gross profit from business the company already has</w:t>
            </w:r>
          </w:p>
        </w:tc>
      </w:tr>
    </w:tbl>
    <w:p>
      <w:pPr>
        <w:keepLines/>
      </w:pPr>
      <w:r>
        <w:rPr>
          <w:rFonts w:ascii="Calibri" w:hAnsi="Calibri"/>
          <w:color w:val="20384A"/>
          <w:sz w:val="22"/>
        </w:rPr>
        <w:t>The conclusion is descriptive, not predictive. Gross profit excludes operating expenses, inactivity is not confirmed churn, and the revenue-at-risk measure is a trailing historical baseline rather than a forecast of future loss.</w:t>
      </w:r>
    </w:p>
    <w:p>
      <w:r>
        <w:br w:type="page"/>
      </w:r>
    </w:p>
    <w:p>
      <w:pPr>
        <w:pStyle w:val="Heading1"/>
        <w:keepNext/>
      </w:pPr>
      <w:r>
        <w:t>1. Customer Segment Profitability</w:t>
      </w:r>
    </w:p>
    <w:p>
      <w:pPr>
        <w:spacing w:before="80" w:after="160"/>
        <w:ind w:left="173" w:right="173"/>
        <w:shd w:fill="D9EAF7"/>
        <w:pBdr>
          <w:left w:val="single" w:sz="18" w:space="8" w:color="2E74B5"/>
        </w:pBdr>
      </w:pPr>
      <w:r>
        <w:rPr>
          <w:rFonts w:ascii="Calibri" w:hAnsi="Calibri"/>
          <w:b/>
          <w:color w:val="17365D"/>
          <w:sz w:val="22"/>
        </w:rPr>
        <w:t>Independent Retail is the largest source of both revenue and gross profit.</w:t>
      </w:r>
    </w:p>
    <w:p>
      <w:pPr>
        <w:keepNext/>
        <w:spacing w:before="40" w:after="40"/>
        <w:jc w:val="center"/>
      </w:pPr>
      <w:r>
        <w:drawing>
          <wp:inline xmlns:a="http://schemas.openxmlformats.org/drawingml/2006/main" xmlns:pic="http://schemas.openxmlformats.org/drawingml/2006/picture">
            <wp:extent cx="5897880" cy="3759898"/>
            <wp:docPr id="1" name="Picture 1" descr="Horizontal bars compare revenue share and gross-profit share for the ten largest historical customer segments." title="Horizontal bars compare revenue share and gross-profit share for the ten largest historical customer segments."/>
            <wp:cNvGraphicFramePr>
              <a:graphicFrameLocks noChangeAspect="1"/>
            </wp:cNvGraphicFramePr>
            <a:graphic>
              <a:graphicData uri="http://schemas.openxmlformats.org/drawingml/2006/picture">
                <pic:pic>
                  <pic:nvPicPr>
                    <pic:cNvPr id="0" name="01_segment_profitability.png"/>
                    <pic:cNvPicPr/>
                  </pic:nvPicPr>
                  <pic:blipFill>
                    <a:blip r:embed="rId11"/>
                    <a:stretch>
                      <a:fillRect/>
                    </a:stretch>
                  </pic:blipFill>
                  <pic:spPr>
                    <a:xfrm>
                      <a:off x="0" y="0"/>
                      <a:ext cx="5897880" cy="3759898"/>
                    </a:xfrm>
                    <a:prstGeom prst="rect"/>
                  </pic:spPr>
                </pic:pic>
              </a:graphicData>
            </a:graphic>
          </wp:inline>
        </w:drawing>
      </w:r>
    </w:p>
    <w:p>
      <w:pPr>
        <w:pStyle w:val="Caption"/>
        <w:spacing w:before="40" w:after="160"/>
        <w:jc w:val="center"/>
      </w:pPr>
      <w:r>
        <w:rPr>
          <w:rFonts w:ascii="Calibri" w:hAnsi="Calibri"/>
          <w:i/>
          <w:color w:val="607184"/>
          <w:sz w:val="18"/>
        </w:rPr>
        <w:t>Figure 1. Segment revenue share compared with gross-profit share.</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520"/>
        <w:gridCol w:w="3040"/>
        <w:gridCol w:w="1450"/>
        <w:gridCol w:w="1450"/>
        <w:gridCol w:w="1450"/>
        <w:gridCol w:w="1450"/>
      </w:tblGrid>
      <w:tr>
        <w:trPr>
          <w:tblHeader w:val="true"/>
        </w:trPr>
        <w:tc>
          <w:tcPr>
            <w:tcW w:type="dxa" w:w="520"/>
            <w:tcMar>
              <w:top w:w="80" w:type="dxa"/>
              <w:start w:w="120" w:type="dxa"/>
              <w:bottom w:w="80" w:type="dxa"/>
              <w:end w:w="120" w:type="dxa"/>
            </w:tcMar>
            <w:shd w:fill="F2F4F7"/>
            <w:vAlign w:val="center"/>
          </w:tcPr>
          <w:p>
            <w:pPr>
              <w:spacing w:after="0"/>
            </w:pPr>
            <w:r>
              <w:rPr>
                <w:rFonts w:ascii="Calibri" w:hAnsi="Calibri"/>
                <w:b/>
                <w:color w:val="17365D"/>
                <w:sz w:val="18"/>
              </w:rPr>
              <w:t>#</w:t>
            </w:r>
          </w:p>
        </w:tc>
        <w:tc>
          <w:tcPr>
            <w:tcW w:type="dxa" w:w="3040"/>
            <w:tcMar>
              <w:top w:w="80" w:type="dxa"/>
              <w:start w:w="120" w:type="dxa"/>
              <w:bottom w:w="80" w:type="dxa"/>
              <w:end w:w="120" w:type="dxa"/>
            </w:tcMar>
            <w:shd w:fill="F2F4F7"/>
            <w:vAlign w:val="center"/>
          </w:tcPr>
          <w:p>
            <w:pPr>
              <w:spacing w:after="0"/>
            </w:pPr>
            <w:r>
              <w:rPr>
                <w:rFonts w:ascii="Calibri" w:hAnsi="Calibri"/>
                <w:b/>
                <w:color w:val="17365D"/>
                <w:sz w:val="18"/>
              </w:rPr>
              <w:t>Customer segment</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Revenue</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Gross profit</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Margin</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Rev. share</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1</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Independent Retail Accounts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$353.1M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$79.1M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22.39%</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48.75%</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2</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Wholesale Trade Accounts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$102.3M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$19.4M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18.94%</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14.12%</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3</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Commercial Service Accounts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$43.1M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$9.4M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21.85%</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5.95%</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4</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Regional Retail Chain - Tier 2</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$30.0M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$6.0M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19.98%</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4.14%</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5</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National Retail Chains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$21.4M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$4.6M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21.44%</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2.95%</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6</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Retail Cooperative Network</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$15.9M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$3.8M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23.91%</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2.20%</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7</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Suburban Retail Chain</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$15.7M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$3.5M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22.51%</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2.17%</w:t>
            </w:r>
          </w:p>
        </w:tc>
      </w:tr>
    </w:tbl>
    <w:p>
      <w:pPr>
        <w:keepLines/>
      </w:pPr>
      <w:r>
        <w:rPr>
          <w:rFonts w:ascii="Calibri" w:hAnsi="Calibri"/>
          <w:color w:val="20384A"/>
          <w:sz w:val="22"/>
        </w:rPr>
        <w:t>Independent Retail produced 48.75% of revenue and 51.37% of gross profit at a 22.39% margin. The company should protect this business while watching how much it depends on one segment. Wholesale Trade is also large, but its 18.94% margin is lower. Retail Cooperative Network is a reasonable place to test focused growth because its revenue more than doubled from 2018 to 2024 while its margin improved.</w:t>
      </w:r>
    </w:p>
    <w:p>
      <w:r>
        <w:br w:type="page"/>
      </w:r>
    </w:p>
    <w:p>
      <w:pPr>
        <w:pStyle w:val="Heading1"/>
        <w:keepNext/>
      </w:pPr>
      <w:r>
        <w:t>2. Revenue Concentration</w:t>
      </w:r>
    </w:p>
    <w:p>
      <w:pPr>
        <w:spacing w:before="80" w:after="160"/>
        <w:ind w:left="173" w:right="173"/>
        <w:shd w:fill="D9EAF7"/>
        <w:pBdr>
          <w:left w:val="single" w:sz="18" w:space="8" w:color="2E74B5"/>
        </w:pBdr>
      </w:pPr>
      <w:r>
        <w:rPr>
          <w:rFonts w:ascii="Calibri" w:hAnsi="Calibri"/>
          <w:b/>
          <w:color w:val="17365D"/>
          <w:sz w:val="22"/>
        </w:rPr>
        <w:t>The company is not dependent on one large customer, but it does depend heavily on one customer segment.</w:t>
      </w:r>
    </w:p>
    <w:p>
      <w:pPr>
        <w:keepNext/>
        <w:spacing w:before="40" w:after="40"/>
        <w:jc w:val="center"/>
      </w:pPr>
      <w:r>
        <w:drawing>
          <wp:inline xmlns:a="http://schemas.openxmlformats.org/drawingml/2006/main" xmlns:pic="http://schemas.openxmlformats.org/drawingml/2006/picture">
            <wp:extent cx="5897880" cy="3428143"/>
            <wp:docPr id="2" name="Picture 2" descr="Cumulative revenue curve shows the share of recognized revenue produced by the ranked customer portfolio, with markers at 50, 80, and 90 percent." title="Cumulative revenue curve shows the share of recognized revenue produced by the ranked customer portfolio, with markers at 50, 80, and 90 percent."/>
            <wp:cNvGraphicFramePr>
              <a:graphicFrameLocks noChangeAspect="1"/>
            </wp:cNvGraphicFramePr>
            <a:graphic>
              <a:graphicData uri="http://schemas.openxmlformats.org/drawingml/2006/picture">
                <pic:pic>
                  <pic:nvPicPr>
                    <pic:cNvPr id="0" name="02_customer_concentration.png"/>
                    <pic:cNvPicPr/>
                  </pic:nvPicPr>
                  <pic:blipFill>
                    <a:blip r:embed="rId12"/>
                    <a:stretch>
                      <a:fillRect/>
                    </a:stretch>
                  </pic:blipFill>
                  <pic:spPr>
                    <a:xfrm>
                      <a:off x="0" y="0"/>
                      <a:ext cx="5897880" cy="3428143"/>
                    </a:xfrm>
                    <a:prstGeom prst="rect"/>
                  </pic:spPr>
                </pic:pic>
              </a:graphicData>
            </a:graphic>
          </wp:inline>
        </w:drawing>
      </w:r>
    </w:p>
    <w:p>
      <w:pPr>
        <w:pStyle w:val="Caption"/>
        <w:spacing w:before="40" w:after="160"/>
        <w:jc w:val="center"/>
      </w:pPr>
      <w:r>
        <w:rPr>
          <w:rFonts w:ascii="Calibri" w:hAnsi="Calibri"/>
          <w:i/>
          <w:color w:val="607184"/>
          <w:sz w:val="18"/>
        </w:rPr>
        <w:t>Figure 2. Customer-level cumulative revenue concentration.</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4160"/>
        <w:gridCol w:w="2600"/>
        <w:gridCol w:w="2600"/>
      </w:tblGrid>
      <w:tr>
        <w:trPr>
          <w:tblHeader w:val="true"/>
        </w:trPr>
        <w:tc>
          <w:tcPr>
            <w:tcW w:type="dxa" w:w="4160"/>
            <w:tcMar>
              <w:top w:w="80" w:type="dxa"/>
              <w:start w:w="120" w:type="dxa"/>
              <w:bottom w:w="80" w:type="dxa"/>
              <w:end w:w="120" w:type="dxa"/>
            </w:tcMar>
            <w:shd w:fill="F2F4F7"/>
            <w:vAlign w:val="center"/>
          </w:tcPr>
          <w:p>
            <w:pPr>
              <w:spacing w:after="0"/>
            </w:pPr>
            <w:r>
              <w:rPr>
                <w:rFonts w:ascii="Calibri" w:hAnsi="Calibri"/>
                <w:b/>
                <w:color w:val="17365D"/>
                <w:sz w:val="18"/>
              </w:rPr>
              <w:t>Concentration measure</w:t>
            </w:r>
          </w:p>
        </w:tc>
        <w:tc>
          <w:tcPr>
            <w:tcW w:type="dxa" w:w="2600"/>
            <w:tcMar>
              <w:top w:w="80" w:type="dxa"/>
              <w:start w:w="120" w:type="dxa"/>
              <w:bottom w:w="80" w:type="dxa"/>
              <w:end w:w="120" w:type="dxa"/>
            </w:tcMar>
            <w:shd w:fill="F2F4F7"/>
            <w:vAlign w:val="center"/>
          </w:tcPr>
          <w:p>
            <w:pPr>
              <w:spacing w:after="0"/>
            </w:pPr>
            <w:r>
              <w:rPr>
                <w:rFonts w:ascii="Calibri" w:hAnsi="Calibri"/>
                <w:b/>
                <w:color w:val="17365D"/>
                <w:sz w:val="18"/>
              </w:rPr>
              <w:t>Customer level</w:t>
            </w:r>
          </w:p>
        </w:tc>
        <w:tc>
          <w:tcPr>
            <w:tcW w:type="dxa" w:w="2600"/>
            <w:tcMar>
              <w:top w:w="80" w:type="dxa"/>
              <w:start w:w="120" w:type="dxa"/>
              <w:bottom w:w="80" w:type="dxa"/>
              <w:end w:w="120" w:type="dxa"/>
            </w:tcMar>
            <w:shd w:fill="F2F4F7"/>
            <w:vAlign w:val="center"/>
          </w:tcPr>
          <w:p>
            <w:pPr>
              <w:spacing w:after="0"/>
            </w:pPr>
            <w:r>
              <w:rPr>
                <w:rFonts w:ascii="Calibri" w:hAnsi="Calibri"/>
                <w:b/>
                <w:color w:val="17365D"/>
                <w:sz w:val="18"/>
              </w:rPr>
              <w:t>Segment level</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Largest entity share</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1.13%</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48.75%</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Top 3 share</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2.97%</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68.82%</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Top 5 share</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4.31%</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75.91%</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Entities needed for 80%</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599</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7</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HHI</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19.36</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2,662.59</w:t>
            </w:r>
          </w:p>
        </w:tc>
      </w:tr>
    </w:tbl>
    <w:p>
      <w:pPr>
        <w:keepLines/>
      </w:pPr>
      <w:r>
        <w:rPr>
          <w:rFonts w:ascii="Calibri" w:hAnsi="Calibri"/>
          <w:color w:val="20384A"/>
          <w:sz w:val="22"/>
        </w:rPr>
        <w:t>The largest customer contributes only 1.13% of revenue, and it takes 599 customers to reach 80%. Losing one account would not put a large share of revenue at risk. A problem affecting many Independent Retail customers at the same time would matter much more, so the company should track concentration by segment as well as by customer.</w:t>
      </w:r>
    </w:p>
    <w:p>
      <w:r>
        <w:br w:type="page"/>
      </w:r>
    </w:p>
    <w:p>
      <w:pPr>
        <w:pStyle w:val="Heading1"/>
        <w:keepNext/>
      </w:pPr>
      <w:r>
        <w:t>3. Customer Lifecycle and Retention Risk</w:t>
      </w:r>
    </w:p>
    <w:p>
      <w:pPr>
        <w:spacing w:before="80" w:after="160"/>
        <w:ind w:left="173" w:right="173"/>
        <w:shd w:fill="D9EAF7"/>
        <w:pBdr>
          <w:left w:val="single" w:sz="18" w:space="8" w:color="2E74B5"/>
        </w:pBdr>
      </w:pPr>
      <w:r>
        <w:rPr>
          <w:rFonts w:ascii="Calibri" w:hAnsi="Calibri"/>
          <w:b/>
          <w:color w:val="17365D"/>
          <w:sz w:val="22"/>
        </w:rPr>
        <w:t>Non-active customers have a $23.0M trailing revenue baseline, but the best outreach targets are the recently inactive high-value accounts.</w:t>
      </w:r>
    </w:p>
    <w:p>
      <w:pPr>
        <w:keepNext/>
        <w:spacing w:before="40" w:after="40"/>
        <w:jc w:val="center"/>
      </w:pPr>
      <w:r>
        <w:drawing>
          <wp:inline xmlns:a="http://schemas.openxmlformats.org/drawingml/2006/main" xmlns:pic="http://schemas.openxmlformats.org/drawingml/2006/picture">
            <wp:extent cx="5897880" cy="3022664"/>
            <wp:docPr id="3" name="Picture 3" descr="Stacked bars compare customer lifecycle counts with the distribution of trailing revenue baseline at risk across watch, at-risk, dormant, active, and no-positive-sales groups." title="Stacked bars compare customer lifecycle counts with the distribution of trailing revenue baseline at risk across watch, at-risk, dormant, active, and no-positive-sales groups."/>
            <wp:cNvGraphicFramePr>
              <a:graphicFrameLocks noChangeAspect="1"/>
            </wp:cNvGraphicFramePr>
            <a:graphic>
              <a:graphicData uri="http://schemas.openxmlformats.org/drawingml/2006/picture">
                <pic:pic>
                  <pic:nvPicPr>
                    <pic:cNvPr id="0" name="03_retention_risk.png"/>
                    <pic:cNvPicPr/>
                  </pic:nvPicPr>
                  <pic:blipFill>
                    <a:blip r:embed="rId13"/>
                    <a:stretch>
                      <a:fillRect/>
                    </a:stretch>
                  </pic:blipFill>
                  <pic:spPr>
                    <a:xfrm>
                      <a:off x="0" y="0"/>
                      <a:ext cx="5897880" cy="3022664"/>
                    </a:xfrm>
                    <a:prstGeom prst="rect"/>
                  </pic:spPr>
                </pic:pic>
              </a:graphicData>
            </a:graphic>
          </wp:inline>
        </w:drawing>
      </w:r>
    </w:p>
    <w:p>
      <w:pPr>
        <w:pStyle w:val="Caption"/>
        <w:spacing w:before="40" w:after="160"/>
        <w:jc w:val="center"/>
      </w:pPr>
      <w:r>
        <w:rPr>
          <w:rFonts w:ascii="Calibri" w:hAnsi="Calibri"/>
          <w:i/>
          <w:color w:val="607184"/>
          <w:sz w:val="18"/>
        </w:rPr>
        <w:t>Figure 3. Lifecycle mix and trailing revenue baseline at risk.</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3000"/>
        <w:gridCol w:w="1350"/>
        <w:gridCol w:w="1350"/>
        <w:gridCol w:w="1900"/>
        <w:gridCol w:w="1760"/>
      </w:tblGrid>
      <w:tr>
        <w:trPr>
          <w:tblHeader w:val="true"/>
        </w:trPr>
        <w:tc>
          <w:tcPr>
            <w:tcW w:type="dxa" w:w="3000"/>
            <w:tcMar>
              <w:top w:w="80" w:type="dxa"/>
              <w:start w:w="120" w:type="dxa"/>
              <w:bottom w:w="80" w:type="dxa"/>
              <w:end w:w="120" w:type="dxa"/>
            </w:tcMar>
            <w:shd w:fill="F2F4F7"/>
            <w:vAlign w:val="center"/>
          </w:tcPr>
          <w:p>
            <w:pPr>
              <w:spacing w:after="0"/>
            </w:pPr>
            <w:r>
              <w:rPr>
                <w:rFonts w:ascii="Calibri" w:hAnsi="Calibri"/>
                <w:b/>
                <w:color w:val="17365D"/>
                <w:sz w:val="18"/>
              </w:rPr>
              <w:t>Lifecycle status</w:t>
            </w:r>
          </w:p>
        </w:tc>
        <w:tc>
          <w:tcPr>
            <w:tcW w:type="dxa" w:w="1350"/>
            <w:tcMar>
              <w:top w:w="80" w:type="dxa"/>
              <w:start w:w="120" w:type="dxa"/>
              <w:bottom w:w="80" w:type="dxa"/>
              <w:end w:w="120" w:type="dxa"/>
            </w:tcMar>
            <w:shd w:fill="F2F4F7"/>
            <w:vAlign w:val="center"/>
          </w:tcPr>
          <w:p>
            <w:pPr>
              <w:spacing w:after="0"/>
            </w:pPr>
            <w:r>
              <w:rPr>
                <w:rFonts w:ascii="Calibri" w:hAnsi="Calibri"/>
                <w:b/>
                <w:color w:val="17365D"/>
                <w:sz w:val="18"/>
              </w:rPr>
              <w:t>Customers</w:t>
            </w:r>
          </w:p>
        </w:tc>
        <w:tc>
          <w:tcPr>
            <w:tcW w:type="dxa" w:w="1350"/>
            <w:tcMar>
              <w:top w:w="80" w:type="dxa"/>
              <w:start w:w="120" w:type="dxa"/>
              <w:bottom w:w="80" w:type="dxa"/>
              <w:end w:w="120" w:type="dxa"/>
            </w:tcMar>
            <w:shd w:fill="F2F4F7"/>
            <w:vAlign w:val="center"/>
          </w:tcPr>
          <w:p>
            <w:pPr>
              <w:spacing w:after="0"/>
            </w:pPr>
            <w:r>
              <w:rPr>
                <w:rFonts w:ascii="Calibri" w:hAnsi="Calibri"/>
                <w:b/>
                <w:color w:val="17365D"/>
                <w:sz w:val="18"/>
              </w:rPr>
              <w:t>Share</w:t>
            </w:r>
          </w:p>
        </w:tc>
        <w:tc>
          <w:tcPr>
            <w:tcW w:type="dxa" w:w="1900"/>
            <w:tcMar>
              <w:top w:w="80" w:type="dxa"/>
              <w:start w:w="120" w:type="dxa"/>
              <w:bottom w:w="80" w:type="dxa"/>
              <w:end w:w="120" w:type="dxa"/>
            </w:tcMar>
            <w:shd w:fill="F2F4F7"/>
            <w:vAlign w:val="center"/>
          </w:tcPr>
          <w:p>
            <w:pPr>
              <w:spacing w:after="0"/>
            </w:pPr>
            <w:r>
              <w:rPr>
                <w:rFonts w:ascii="Calibri" w:hAnsi="Calibri"/>
                <w:b/>
                <w:color w:val="17365D"/>
                <w:sz w:val="18"/>
              </w:rPr>
              <w:t>Revenue at risk</w:t>
            </w:r>
          </w:p>
        </w:tc>
        <w:tc>
          <w:tcPr>
            <w:tcW w:type="dxa" w:w="1760"/>
            <w:tcMar>
              <w:top w:w="80" w:type="dxa"/>
              <w:start w:w="120" w:type="dxa"/>
              <w:bottom w:w="80" w:type="dxa"/>
              <w:end w:w="120" w:type="dxa"/>
            </w:tcMar>
            <w:shd w:fill="F2F4F7"/>
            <w:vAlign w:val="center"/>
          </w:tcPr>
          <w:p>
            <w:pPr>
              <w:spacing w:after="0"/>
            </w:pPr>
            <w:r>
              <w:rPr>
                <w:rFonts w:ascii="Calibri" w:hAnsi="Calibri"/>
                <w:b/>
                <w:color w:val="17365D"/>
                <w:sz w:val="18"/>
              </w:rPr>
              <w:t>Risk share</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Active (0-3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1,678</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51.95%</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$0.0M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0.00%</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Watch (4-6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98</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3.03%</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$1.5M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6.47%</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At Risk (7-12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165</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5.11%</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$2.6M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11.26%</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Dormant (13+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1,268</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39.26%</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$19.0M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82.27%</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No Positive Sales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21</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0.65%</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$0.0M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0.00%</w:t>
            </w:r>
          </w:p>
        </w:tc>
      </w:tr>
    </w:tbl>
    <w:p>
      <w:pPr>
        <w:keepLines/>
      </w:pPr>
      <w:r>
        <w:rPr>
          <w:rFonts w:ascii="Calibri" w:hAnsi="Calibri"/>
          <w:color w:val="20384A"/>
          <w:sz w:val="22"/>
        </w:rPr>
        <w:t>The company should contact high-value customers inactive for 7-12 months first, then use lower-cost reminders for the 4-6 month watch group. Dormant customers should be handled as a smaller test focused on the most valuable accounts. Inactivity is a warning sign, not proof that a customer has permanently left.</w:t>
      </w:r>
    </w:p>
    <w:p>
      <w:r>
        <w:br w:type="page"/>
      </w:r>
    </w:p>
    <w:p>
      <w:pPr>
        <w:pStyle w:val="Heading1"/>
        <w:keepNext/>
      </w:pPr>
      <w:r>
        <w:t>4. Revenue and Margin Trends</w:t>
      </w:r>
    </w:p>
    <w:p>
      <w:pPr>
        <w:spacing w:before="80" w:after="160"/>
        <w:ind w:left="173" w:right="173"/>
        <w:shd w:fill="D9EAF7"/>
        <w:pBdr>
          <w:left w:val="single" w:sz="18" w:space="8" w:color="2E74B5"/>
        </w:pBdr>
      </w:pPr>
      <w:r>
        <w:rPr>
          <w:rFonts w:ascii="Calibri" w:hAnsi="Calibri"/>
          <w:b/>
          <w:color w:val="17365D"/>
          <w:sz w:val="22"/>
        </w:rPr>
        <w:t>Revenue rose every year, gross profit grew faster, and gross margin improved.</w:t>
      </w:r>
    </w:p>
    <w:p>
      <w:pPr>
        <w:keepNext/>
        <w:spacing w:before="40" w:after="40"/>
        <w:jc w:val="center"/>
      </w:pPr>
      <w:r>
        <w:drawing>
          <wp:inline xmlns:a="http://schemas.openxmlformats.org/drawingml/2006/main" xmlns:pic="http://schemas.openxmlformats.org/drawingml/2006/picture">
            <wp:extent cx="5897880" cy="3317558"/>
            <wp:docPr id="4" name="Picture 4" descr="Stacked annual revenue bars show cost and gross profit from 2018 through 2024, with an accompanying gross-margin line rising from 19.15 percent to 22.01 percent." title="Stacked annual revenue bars show cost and gross profit from 2018 through 2024, with an accompanying gross-margin line rising from 19.15 percent to 22.01 percent."/>
            <wp:cNvGraphicFramePr>
              <a:graphicFrameLocks noChangeAspect="1"/>
            </wp:cNvGraphicFramePr>
            <a:graphic>
              <a:graphicData uri="http://schemas.openxmlformats.org/drawingml/2006/picture">
                <pic:pic>
                  <pic:nvPicPr>
                    <pic:cNvPr id="0" name="04_revenue_margin_trends.png"/>
                    <pic:cNvPicPr/>
                  </pic:nvPicPr>
                  <pic:blipFill>
                    <a:blip r:embed="rId14"/>
                    <a:stretch>
                      <a:fillRect/>
                    </a:stretch>
                  </pic:blipFill>
                  <pic:spPr>
                    <a:xfrm>
                      <a:off x="0" y="0"/>
                      <a:ext cx="5897880" cy="3317558"/>
                    </a:xfrm>
                    <a:prstGeom prst="rect"/>
                  </pic:spPr>
                </pic:pic>
              </a:graphicData>
            </a:graphic>
          </wp:inline>
        </w:drawing>
      </w:r>
    </w:p>
    <w:p>
      <w:pPr>
        <w:pStyle w:val="Caption"/>
        <w:spacing w:before="40" w:after="160"/>
        <w:jc w:val="center"/>
      </w:pPr>
      <w:r>
        <w:rPr>
          <w:rFonts w:ascii="Calibri" w:hAnsi="Calibri"/>
          <w:i/>
          <w:color w:val="607184"/>
          <w:sz w:val="18"/>
        </w:rPr>
        <w:t>Figure 4. Annual recognized revenue and gross-margin trend.</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900"/>
        <w:gridCol w:w="2200"/>
        <w:gridCol w:w="2200"/>
        <w:gridCol w:w="1800"/>
        <w:gridCol w:w="2260"/>
      </w:tblGrid>
      <w:tr>
        <w:trPr>
          <w:tblHeader w:val="true"/>
        </w:trPr>
        <w:tc>
          <w:tcPr>
            <w:tcW w:type="dxa" w:w="900"/>
            <w:tcMar>
              <w:top w:w="80" w:type="dxa"/>
              <w:start w:w="120" w:type="dxa"/>
              <w:bottom w:w="80" w:type="dxa"/>
              <w:end w:w="120" w:type="dxa"/>
            </w:tcMar>
            <w:shd w:fill="F2F4F7"/>
            <w:vAlign w:val="center"/>
          </w:tcPr>
          <w:p>
            <w:pPr>
              <w:spacing w:after="0"/>
            </w:pPr>
            <w:r>
              <w:rPr>
                <w:rFonts w:ascii="Calibri" w:hAnsi="Calibri"/>
                <w:b/>
                <w:color w:val="17365D"/>
                <w:sz w:val="18"/>
              </w:rPr>
              <w:t>Year</w:t>
            </w:r>
          </w:p>
        </w:tc>
        <w:tc>
          <w:tcPr>
            <w:tcW w:type="dxa" w:w="2200"/>
            <w:tcMar>
              <w:top w:w="80" w:type="dxa"/>
              <w:start w:w="120" w:type="dxa"/>
              <w:bottom w:w="80" w:type="dxa"/>
              <w:end w:w="120" w:type="dxa"/>
            </w:tcMar>
            <w:shd w:fill="F2F4F7"/>
            <w:vAlign w:val="center"/>
          </w:tcPr>
          <w:p>
            <w:pPr>
              <w:spacing w:after="0"/>
            </w:pPr>
            <w:r>
              <w:rPr>
                <w:rFonts w:ascii="Calibri" w:hAnsi="Calibri"/>
                <w:b/>
                <w:color w:val="17365D"/>
                <w:sz w:val="18"/>
              </w:rPr>
              <w:t>Revenue</w:t>
            </w:r>
          </w:p>
        </w:tc>
        <w:tc>
          <w:tcPr>
            <w:tcW w:type="dxa" w:w="2200"/>
            <w:tcMar>
              <w:top w:w="80" w:type="dxa"/>
              <w:start w:w="120" w:type="dxa"/>
              <w:bottom w:w="80" w:type="dxa"/>
              <w:end w:w="120" w:type="dxa"/>
            </w:tcMar>
            <w:shd w:fill="F2F4F7"/>
            <w:vAlign w:val="center"/>
          </w:tcPr>
          <w:p>
            <w:pPr>
              <w:spacing w:after="0"/>
            </w:pPr>
            <w:r>
              <w:rPr>
                <w:rFonts w:ascii="Calibri" w:hAnsi="Calibri"/>
                <w:b/>
                <w:color w:val="17365D"/>
                <w:sz w:val="18"/>
              </w:rPr>
              <w:t>Gross profit</w:t>
            </w:r>
          </w:p>
        </w:tc>
        <w:tc>
          <w:tcPr>
            <w:tcW w:type="dxa" w:w="1800"/>
            <w:tcMar>
              <w:top w:w="80" w:type="dxa"/>
              <w:start w:w="120" w:type="dxa"/>
              <w:bottom w:w="80" w:type="dxa"/>
              <w:end w:w="120" w:type="dxa"/>
            </w:tcMar>
            <w:shd w:fill="F2F4F7"/>
            <w:vAlign w:val="center"/>
          </w:tcPr>
          <w:p>
            <w:pPr>
              <w:spacing w:after="0"/>
            </w:pPr>
            <w:r>
              <w:rPr>
                <w:rFonts w:ascii="Calibri" w:hAnsi="Calibri"/>
                <w:b/>
                <w:color w:val="17365D"/>
                <w:sz w:val="18"/>
              </w:rPr>
              <w:t>Margin</w:t>
            </w:r>
          </w:p>
        </w:tc>
        <w:tc>
          <w:tcPr>
            <w:tcW w:type="dxa" w:w="2260"/>
            <w:tcMar>
              <w:top w:w="80" w:type="dxa"/>
              <w:start w:w="120" w:type="dxa"/>
              <w:bottom w:w="80" w:type="dxa"/>
              <w:end w:w="120" w:type="dxa"/>
            </w:tcMar>
            <w:shd w:fill="F2F4F7"/>
            <w:vAlign w:val="center"/>
          </w:tcPr>
          <w:p>
            <w:pPr>
              <w:spacing w:after="0"/>
            </w:pPr>
            <w:r>
              <w:rPr>
                <w:rFonts w:ascii="Calibri" w:hAnsi="Calibri"/>
                <w:b/>
                <w:color w:val="17365D"/>
                <w:sz w:val="18"/>
              </w:rPr>
              <w:t>Revenue YoY</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2018</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$79.4M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$15.2M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19.15%</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2019</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$82.9M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$17.0M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20.47%</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4.49%</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2020</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$88.3M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$18.9M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21.43%</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6.44%</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2021</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$103.0M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$22.0M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21.39%</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16.65%</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2022</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$116.4M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$25.1M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21.56%</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12.99%</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2023</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$123.5M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$26.9M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21.76%</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6.15%</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2024</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$131.0M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$28.8M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22.01%</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6.05%</w:t>
            </w:r>
          </w:p>
        </w:tc>
      </w:tr>
    </w:tbl>
    <w:p>
      <w:pPr>
        <w:keepLines/>
      </w:pPr>
      <w:r>
        <w:rPr>
          <w:rFonts w:ascii="Calibri" w:hAnsi="Calibri"/>
          <w:color w:val="20384A"/>
          <w:sz w:val="22"/>
        </w:rPr>
        <w:t>Revenue increased 65.0% from 2018 to 2024, while gross profit increased 89.6%. Gross margin finished 2.86 percentage points higher. Growth slowed to about 6% in 2023 and 2024, but gross profit still grew faster than revenue. The historical pattern remains healthy through 2024, although it is not a forecast.</w:t>
      </w:r>
    </w:p>
    <w:p>
      <w:r>
        <w:br w:type="page"/>
      </w:r>
    </w:p>
    <w:p>
      <w:pPr>
        <w:pStyle w:val="Heading1"/>
        <w:keepNext/>
      </w:pPr>
      <w:r>
        <w:t>Strategic Recommendations</w:t>
      </w:r>
    </w:p>
    <w:p>
      <w:pPr>
        <w:pStyle w:val="Heading2"/>
        <w:keepNext/>
      </w:pPr>
      <w:r>
        <w:t>1. Protect Independent Retail while building other sources of growth</w:t>
      </w:r>
    </w:p>
    <w:p>
      <w:pPr>
        <w:keepLines/>
      </w:pPr>
      <w:r>
        <w:rPr>
          <w:rFonts w:ascii="Calibri" w:hAnsi="Calibri"/>
          <w:color w:val="20384A"/>
          <w:sz w:val="22"/>
        </w:rPr>
        <w:t>Review Independent Retail revenue, margin, active customers, retention, and service levels every month. At the same time, test focused growth efforts in smaller high-margin segments such as Retail Cooperative Network and Independent Distribution Partner.</w:t>
      </w:r>
    </w:p>
    <w:p>
      <w:pPr>
        <w:keepLines/>
      </w:pPr>
      <w:r>
        <w:rPr>
          <w:rFonts w:ascii="Calibri" w:hAnsi="Calibri"/>
          <w:b/>
          <w:color w:val="20384A"/>
          <w:sz w:val="22"/>
        </w:rPr>
        <w:t>Primary measures:</w:t>
      </w:r>
      <w:r>
        <w:rPr>
          <w:rFonts w:ascii="Calibri" w:hAnsi="Calibri"/>
          <w:color w:val="20384A"/>
          <w:sz w:val="22"/>
        </w:rPr>
        <w:t xml:space="preserve"> Independent Retail retention and margin; new revenue and gross profit from the selected growth segments.</w:t>
      </w:r>
    </w:p>
    <w:p>
      <w:pPr>
        <w:pStyle w:val="Heading2"/>
        <w:keepNext/>
      </w:pPr>
      <w:r>
        <w:t>2. Use a prioritized customer outreach list</w:t>
      </w:r>
    </w:p>
    <w:p>
      <w:pPr>
        <w:keepLines/>
      </w:pPr>
      <w:r>
        <w:rPr>
          <w:rFonts w:ascii="Calibri" w:hAnsi="Calibri"/>
          <w:color w:val="20384A"/>
          <w:sz w:val="22"/>
        </w:rPr>
        <w:t>Run the lifecycle analysis monthly. Contact high-value customers inactive for 7-12 months first, use lower-cost reminders for 4-6 month accounts, and test reactivation only on the most valuable dormant accounts.</w:t>
      </w:r>
    </w:p>
    <w:p>
      <w:pPr>
        <w:keepLines/>
      </w:pPr>
      <w:r>
        <w:rPr>
          <w:rFonts w:ascii="Calibri" w:hAnsi="Calibri"/>
          <w:b/>
          <w:color w:val="20384A"/>
          <w:sz w:val="22"/>
        </w:rPr>
        <w:t>Primary measures:</w:t>
      </w:r>
      <w:r>
        <w:rPr>
          <w:rFonts w:ascii="Calibri" w:hAnsi="Calibri"/>
          <w:color w:val="20384A"/>
          <w:sz w:val="22"/>
        </w:rPr>
        <w:t xml:space="preserve"> Watch-to-active and at-risk-to-active conversion, recovered gross profit, time to intervention, and campaign cost per reactivation.</w:t>
      </w:r>
    </w:p>
    <w:p>
      <w:pPr>
        <w:pStyle w:val="Heading2"/>
        <w:keepNext/>
      </w:pPr>
      <w:r>
        <w:t>3. Improve margins in large segments that lag the company average</w:t>
      </w:r>
    </w:p>
    <w:p>
      <w:pPr>
        <w:keepLines/>
      </w:pPr>
      <w:r>
        <w:rPr>
          <w:rFonts w:ascii="Calibri" w:hAnsi="Calibri"/>
          <w:color w:val="20384A"/>
          <w:sz w:val="22"/>
        </w:rPr>
        <w:t>Start with Wholesale Trade and other large segments whose share of gross profit is lower than their share of revenue. Review pricing, discounts, product mix, purchasing, freight recovery, returns, and service requirements before setting new growth targets.</w:t>
      </w:r>
    </w:p>
    <w:p>
      <w:pPr>
        <w:keepLines/>
      </w:pPr>
      <w:r>
        <w:rPr>
          <w:rFonts w:ascii="Calibri" w:hAnsi="Calibri"/>
          <w:b/>
          <w:color w:val="20384A"/>
          <w:sz w:val="22"/>
        </w:rPr>
        <w:t>Primary measures:</w:t>
      </w:r>
      <w:r>
        <w:rPr>
          <w:rFonts w:ascii="Calibri" w:hAnsi="Calibri"/>
          <w:color w:val="20384A"/>
          <w:sz w:val="22"/>
        </w:rPr>
        <w:t xml:space="preserve"> Segment gross margin, gross profit per customer, realized price, freight recovery, returns, and cost-to-serve where available.</w:t>
      </w:r>
    </w:p>
    <w:p>
      <w:pPr>
        <w:pStyle w:val="Heading2"/>
        <w:keepNext/>
      </w:pPr>
      <w:r>
        <w:t>Management scorecard</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2100"/>
        <w:gridCol w:w="3100"/>
        <w:gridCol w:w="4160"/>
      </w:tblGrid>
      <w:tr>
        <w:trPr>
          <w:tblHeader w:val="true"/>
        </w:trPr>
        <w:tc>
          <w:tcPr>
            <w:tcW w:type="dxa" w:w="2100"/>
            <w:tcMar>
              <w:top w:w="80" w:type="dxa"/>
              <w:start w:w="120" w:type="dxa"/>
              <w:bottom w:w="80" w:type="dxa"/>
              <w:end w:w="120" w:type="dxa"/>
            </w:tcMar>
            <w:shd w:fill="F2F4F7"/>
            <w:vAlign w:val="center"/>
          </w:tcPr>
          <w:p>
            <w:pPr>
              <w:spacing w:after="0"/>
            </w:pPr>
            <w:r>
              <w:rPr>
                <w:rFonts w:ascii="Calibri" w:hAnsi="Calibri"/>
                <w:b/>
                <w:color w:val="17365D"/>
                <w:sz w:val="18"/>
              </w:rPr>
              <w:t>Dimension</w:t>
            </w:r>
          </w:p>
        </w:tc>
        <w:tc>
          <w:tcPr>
            <w:tcW w:type="dxa" w:w="3100"/>
            <w:tcMar>
              <w:top w:w="80" w:type="dxa"/>
              <w:start w:w="120" w:type="dxa"/>
              <w:bottom w:w="80" w:type="dxa"/>
              <w:end w:w="120" w:type="dxa"/>
            </w:tcMar>
            <w:shd w:fill="F2F4F7"/>
            <w:vAlign w:val="center"/>
          </w:tcPr>
          <w:p>
            <w:pPr>
              <w:spacing w:after="0"/>
            </w:pPr>
            <w:r>
              <w:rPr>
                <w:rFonts w:ascii="Calibri" w:hAnsi="Calibri"/>
                <w:b/>
                <w:color w:val="17365D"/>
                <w:sz w:val="18"/>
              </w:rPr>
              <w:t>Core metric</w:t>
            </w:r>
          </w:p>
        </w:tc>
        <w:tc>
          <w:tcPr>
            <w:tcW w:type="dxa" w:w="4160"/>
            <w:tcMar>
              <w:top w:w="80" w:type="dxa"/>
              <w:start w:w="120" w:type="dxa"/>
              <w:bottom w:w="80" w:type="dxa"/>
              <w:end w:w="120" w:type="dxa"/>
            </w:tcMar>
            <w:shd w:fill="F2F4F7"/>
            <w:vAlign w:val="center"/>
          </w:tcPr>
          <w:p>
            <w:pPr>
              <w:spacing w:after="0"/>
            </w:pPr>
            <w:r>
              <w:rPr>
                <w:rFonts w:ascii="Calibri" w:hAnsi="Calibri"/>
                <w:b/>
                <w:color w:val="17365D"/>
                <w:sz w:val="18"/>
              </w:rPr>
              <w:t>Decision signal</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Segments</w:t>
            </w:r>
          </w:p>
        </w:tc>
        <w:tc>
          <w:tcPr>
            <w:tcW w:type="dxa" w:w="3100"/>
            <w:vAlign w:val="center"/>
            <w:tcMar>
              <w:top w:w="80" w:type="dxa"/>
              <w:start w:w="120" w:type="dxa"/>
              <w:bottom w:w="80" w:type="dxa"/>
              <w:end w:w="120" w:type="dxa"/>
            </w:tcMar>
          </w:tcPr>
          <w:p>
            <w:pPr>
              <w:spacing w:after="0"/>
            </w:pPr>
            <w:r>
              <w:rPr>
                <w:rFonts w:ascii="Calibri" w:hAnsi="Calibri"/>
                <w:color w:val="20384A"/>
                <w:sz w:val="18"/>
              </w:rPr>
              <w:t>Revenue, gross profit, and margin</w:t>
            </w:r>
          </w:p>
        </w:tc>
        <w:tc>
          <w:tcPr>
            <w:tcW w:type="dxa" w:w="4160"/>
            <w:vAlign w:val="center"/>
            <w:tcMar>
              <w:top w:w="80" w:type="dxa"/>
              <w:start w:w="120" w:type="dxa"/>
              <w:bottom w:w="80" w:type="dxa"/>
              <w:end w:w="120" w:type="dxa"/>
            </w:tcMar>
          </w:tcPr>
          <w:p>
            <w:pPr>
              <w:spacing w:after="0"/>
            </w:pPr>
            <w:r>
              <w:rPr>
                <w:rFonts w:ascii="Calibri" w:hAnsi="Calibri"/>
                <w:color w:val="20384A"/>
                <w:sz w:val="18"/>
              </w:rPr>
              <w:t>A large segment contributes less profit than expected</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Concentration</w:t>
            </w:r>
          </w:p>
        </w:tc>
        <w:tc>
          <w:tcPr>
            <w:tcW w:type="dxa" w:w="3100"/>
            <w:vAlign w:val="center"/>
            <w:tcMar>
              <w:top w:w="80" w:type="dxa"/>
              <w:start w:w="120" w:type="dxa"/>
              <w:bottom w:w="80" w:type="dxa"/>
              <w:end w:w="120" w:type="dxa"/>
            </w:tcMar>
          </w:tcPr>
          <w:p>
            <w:pPr>
              <w:spacing w:after="0"/>
            </w:pPr>
            <w:r>
              <w:rPr>
                <w:rFonts w:ascii="Calibri" w:hAnsi="Calibri"/>
                <w:color w:val="20384A"/>
                <w:sz w:val="18"/>
              </w:rPr>
              <w:t>Largest-segment and top-customer shares</w:t>
            </w:r>
          </w:p>
        </w:tc>
        <w:tc>
          <w:tcPr>
            <w:tcW w:type="dxa" w:w="4160"/>
            <w:vAlign w:val="center"/>
            <w:tcMar>
              <w:top w:w="80" w:type="dxa"/>
              <w:start w:w="120" w:type="dxa"/>
              <w:bottom w:w="80" w:type="dxa"/>
              <w:end w:w="120" w:type="dxa"/>
            </w:tcMar>
          </w:tcPr>
          <w:p>
            <w:pPr>
              <w:spacing w:after="0"/>
            </w:pPr>
            <w:r>
              <w:rPr>
                <w:rFonts w:ascii="Calibri" w:hAnsi="Calibri"/>
                <w:color w:val="20384A"/>
                <w:sz w:val="18"/>
              </w:rPr>
              <w:t>Segment dependence continues to rise</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Retention</w:t>
            </w:r>
          </w:p>
        </w:tc>
        <w:tc>
          <w:tcPr>
            <w:tcW w:type="dxa" w:w="3100"/>
            <w:vAlign w:val="center"/>
            <w:tcMar>
              <w:top w:w="80" w:type="dxa"/>
              <w:start w:w="120" w:type="dxa"/>
              <w:bottom w:w="80" w:type="dxa"/>
              <w:end w:w="120" w:type="dxa"/>
            </w:tcMar>
          </w:tcPr>
          <w:p>
            <w:pPr>
              <w:spacing w:after="0"/>
            </w:pPr>
            <w:r>
              <w:rPr>
                <w:rFonts w:ascii="Calibri" w:hAnsi="Calibri"/>
                <w:color w:val="20384A"/>
                <w:sz w:val="18"/>
              </w:rPr>
              <w:t>Historical revenue tied to non-active customers</w:t>
            </w:r>
          </w:p>
        </w:tc>
        <w:tc>
          <w:tcPr>
            <w:tcW w:type="dxa" w:w="4160"/>
            <w:vAlign w:val="center"/>
            <w:tcMar>
              <w:top w:w="80" w:type="dxa"/>
              <w:start w:w="120" w:type="dxa"/>
              <w:bottom w:w="80" w:type="dxa"/>
              <w:end w:w="120" w:type="dxa"/>
            </w:tcMar>
          </w:tcPr>
          <w:p>
            <w:pPr>
              <w:spacing w:after="0"/>
            </w:pPr>
            <w:r>
              <w:rPr>
                <w:rFonts w:ascii="Calibri" w:hAnsi="Calibri"/>
                <w:color w:val="20384A"/>
                <w:sz w:val="18"/>
              </w:rPr>
              <w:t>Recent watch and at-risk groups are growing</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Financial trend</w:t>
            </w:r>
          </w:p>
        </w:tc>
        <w:tc>
          <w:tcPr>
            <w:tcW w:type="dxa" w:w="3100"/>
            <w:vAlign w:val="center"/>
            <w:tcMar>
              <w:top w:w="80" w:type="dxa"/>
              <w:start w:w="120" w:type="dxa"/>
              <w:bottom w:w="80" w:type="dxa"/>
              <w:end w:w="120" w:type="dxa"/>
            </w:tcMar>
          </w:tcPr>
          <w:p>
            <w:pPr>
              <w:spacing w:after="0"/>
            </w:pPr>
            <w:r>
              <w:rPr>
                <w:rFonts w:ascii="Calibri" w:hAnsi="Calibri"/>
                <w:color w:val="20384A"/>
                <w:sz w:val="18"/>
              </w:rPr>
              <w:t>Revenue growth, GP growth, and margin</w:t>
            </w:r>
          </w:p>
        </w:tc>
        <w:tc>
          <w:tcPr>
            <w:tcW w:type="dxa" w:w="4160"/>
            <w:vAlign w:val="center"/>
            <w:tcMar>
              <w:top w:w="80" w:type="dxa"/>
              <w:start w:w="120" w:type="dxa"/>
              <w:bottom w:w="80" w:type="dxa"/>
              <w:end w:w="120" w:type="dxa"/>
            </w:tcMar>
          </w:tcPr>
          <w:p>
            <w:pPr>
              <w:spacing w:after="0"/>
            </w:pPr>
            <w:r>
              <w:rPr>
                <w:rFonts w:ascii="Calibri" w:hAnsi="Calibri"/>
                <w:color w:val="20384A"/>
                <w:sz w:val="18"/>
              </w:rPr>
              <w:t>Revenue slows while profit or margin also weakens</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Seasonality</w:t>
            </w:r>
          </w:p>
        </w:tc>
        <w:tc>
          <w:tcPr>
            <w:tcW w:type="dxa" w:w="3100"/>
            <w:vAlign w:val="center"/>
            <w:tcMar>
              <w:top w:w="80" w:type="dxa"/>
              <w:start w:w="120" w:type="dxa"/>
              <w:bottom w:w="80" w:type="dxa"/>
              <w:end w:w="120" w:type="dxa"/>
            </w:tcMar>
          </w:tcPr>
          <w:p>
            <w:pPr>
              <w:spacing w:after="0"/>
            </w:pPr>
            <w:r>
              <w:rPr>
                <w:rFonts w:ascii="Calibri" w:hAnsi="Calibri"/>
                <w:color w:val="20384A"/>
                <w:sz w:val="18"/>
              </w:rPr>
              <w:t>Q4 revenue share</w:t>
            </w:r>
          </w:p>
        </w:tc>
        <w:tc>
          <w:tcPr>
            <w:tcW w:type="dxa" w:w="4160"/>
            <w:vAlign w:val="center"/>
            <w:tcMar>
              <w:top w:w="80" w:type="dxa"/>
              <w:start w:w="120" w:type="dxa"/>
              <w:bottom w:w="80" w:type="dxa"/>
              <w:end w:w="120" w:type="dxa"/>
            </w:tcMar>
          </w:tcPr>
          <w:p>
            <w:pPr>
              <w:spacing w:after="0"/>
            </w:pPr>
            <w:r>
              <w:rPr>
                <w:rFonts w:ascii="Calibri" w:hAnsi="Calibri"/>
                <w:color w:val="20384A"/>
                <w:sz w:val="18"/>
              </w:rPr>
              <w:t>The company is underprepared for busy months</w:t>
            </w:r>
          </w:p>
        </w:tc>
      </w:tr>
    </w:tbl>
    <w:p>
      <w:r>
        <w:br w:type="page"/>
      </w:r>
    </w:p>
    <w:p>
      <w:pPr>
        <w:pStyle w:val="Heading1"/>
        <w:keepNext/>
      </w:pPr>
      <w:r>
        <w:t>Methodology, Limitations, and Reproducibility</w:t>
      </w:r>
    </w:p>
    <w:p>
      <w:pPr>
        <w:pStyle w:val="Heading2"/>
        <w:keepNext/>
      </w:pPr>
      <w:r>
        <w:t>Core analytical rules</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2700"/>
        <w:gridCol w:w="6660"/>
      </w:tblGrid>
      <w:tr>
        <w:trPr>
          <w:tblHeader w:val="true"/>
        </w:trPr>
        <w:tc>
          <w:tcPr>
            <w:tcW w:type="dxa" w:w="2700"/>
            <w:tcMar>
              <w:top w:w="80" w:type="dxa"/>
              <w:start w:w="120" w:type="dxa"/>
              <w:bottom w:w="80" w:type="dxa"/>
              <w:end w:w="120" w:type="dxa"/>
            </w:tcMar>
            <w:shd w:fill="F2F4F7"/>
            <w:vAlign w:val="center"/>
          </w:tcPr>
          <w:p>
            <w:pPr>
              <w:spacing w:after="0"/>
            </w:pPr>
            <w:r>
              <w:rPr>
                <w:rFonts w:ascii="Calibri" w:hAnsi="Calibri"/>
                <w:b/>
                <w:color w:val="17365D"/>
                <w:sz w:val="18"/>
              </w:rPr>
              <w:t>Rule</w:t>
            </w:r>
          </w:p>
        </w:tc>
        <w:tc>
          <w:tcPr>
            <w:tcW w:type="dxa" w:w="6660"/>
            <w:tcMar>
              <w:top w:w="80" w:type="dxa"/>
              <w:start w:w="120" w:type="dxa"/>
              <w:bottom w:w="80" w:type="dxa"/>
              <w:end w:w="120" w:type="dxa"/>
            </w:tcMar>
            <w:shd w:fill="F2F4F7"/>
            <w:vAlign w:val="center"/>
          </w:tcPr>
          <w:p>
            <w:pPr>
              <w:spacing w:after="0"/>
            </w:pPr>
            <w:r>
              <w:rPr>
                <w:rFonts w:ascii="Calibri" w:hAnsi="Calibri"/>
                <w:b/>
                <w:color w:val="17365D"/>
                <w:sz w:val="18"/>
              </w:rPr>
              <w:t>Application</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Reporting authority</w:t>
            </w:r>
          </w:p>
        </w:tc>
        <w:tc>
          <w:tcPr>
            <w:tcW w:type="dxa" w:w="6660"/>
            <w:vAlign w:val="center"/>
            <w:tcMar>
              <w:top w:w="80" w:type="dxa"/>
              <w:start w:w="120" w:type="dxa"/>
              <w:bottom w:w="80" w:type="dxa"/>
              <w:end w:w="120" w:type="dxa"/>
            </w:tcMar>
          </w:tcPr>
          <w:p>
            <w:pPr>
              <w:spacing w:after="0"/>
            </w:pPr>
            <w:r>
              <w:rPr>
                <w:rFonts w:ascii="Calibri" w:hAnsi="Calibri"/>
                <w:color w:val="20384A"/>
                <w:sz w:val="18"/>
              </w:rPr>
              <w:t>Recognized accounting Period in YYMM format; complete window 1801-2412</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Historical segment</w:t>
            </w:r>
          </w:p>
        </w:tc>
        <w:tc>
          <w:tcPr>
            <w:tcW w:type="dxa" w:w="6660"/>
            <w:vAlign w:val="center"/>
            <w:tcMar>
              <w:top w:w="80" w:type="dxa"/>
              <w:start w:w="120" w:type="dxa"/>
              <w:bottom w:w="80" w:type="dxa"/>
              <w:end w:w="120" w:type="dxa"/>
            </w:tcMar>
          </w:tcPr>
          <w:p>
            <w:pPr>
              <w:spacing w:after="0"/>
            </w:pPr>
            <w:r>
              <w:rPr>
                <w:rFonts w:ascii="Calibri" w:hAnsi="Calibri"/>
                <w:color w:val="20384A"/>
                <w:sz w:val="18"/>
              </w:rPr>
              <w:t>Customer class recorded on each transaction; current class does not rewrite history</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Gross profit</w:t>
            </w:r>
          </w:p>
        </w:tc>
        <w:tc>
          <w:tcPr>
            <w:tcW w:type="dxa" w:w="6660"/>
            <w:vAlign w:val="center"/>
            <w:tcMar>
              <w:top w:w="80" w:type="dxa"/>
              <w:start w:w="120" w:type="dxa"/>
              <w:bottom w:w="80" w:type="dxa"/>
              <w:end w:w="120" w:type="dxa"/>
            </w:tcMar>
          </w:tcPr>
          <w:p>
            <w:pPr>
              <w:spacing w:after="0"/>
            </w:pPr>
            <w:r>
              <w:rPr>
                <w:rFonts w:ascii="Calibri" w:hAnsi="Calibri"/>
                <w:color w:val="20384A"/>
                <w:sz w:val="18"/>
              </w:rPr>
              <w:t>SUM(Sales) - SUM(Cost); aggregate margin equals gross profit divided by revenue</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Activity definition</w:t>
            </w:r>
          </w:p>
        </w:tc>
        <w:tc>
          <w:tcPr>
            <w:tcW w:type="dxa" w:w="6660"/>
            <w:vAlign w:val="center"/>
            <w:tcMar>
              <w:top w:w="80" w:type="dxa"/>
              <w:start w:w="120" w:type="dxa"/>
              <w:bottom w:w="80" w:type="dxa"/>
              <w:end w:w="120" w:type="dxa"/>
            </w:tcMar>
          </w:tcPr>
          <w:p>
            <w:pPr>
              <w:spacing w:after="0"/>
            </w:pPr>
            <w:r>
              <w:rPr>
                <w:rFonts w:ascii="Calibri" w:hAnsi="Calibri"/>
                <w:color w:val="20384A"/>
                <w:sz w:val="18"/>
              </w:rPr>
              <w:t>Positive sales reset the lifecycle clock; credits and returns do not</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Revenue at risk</w:t>
            </w:r>
          </w:p>
        </w:tc>
        <w:tc>
          <w:tcPr>
            <w:tcW w:type="dxa" w:w="6660"/>
            <w:vAlign w:val="center"/>
            <w:tcMar>
              <w:top w:w="80" w:type="dxa"/>
              <w:start w:w="120" w:type="dxa"/>
              <w:bottom w:w="80" w:type="dxa"/>
              <w:end w:w="120" w:type="dxa"/>
            </w:tcMar>
          </w:tcPr>
          <w:p>
            <w:pPr>
              <w:spacing w:after="0"/>
            </w:pPr>
            <w:r>
              <w:rPr>
                <w:rFonts w:ascii="Calibri" w:hAnsi="Calibri"/>
                <w:color w:val="20384A"/>
                <w:sz w:val="18"/>
              </w:rPr>
              <w:t>Net revenue in the 12 periods ending with last positive sale, floored at zero, for non-active customers</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Ledger treatment</w:t>
            </w:r>
          </w:p>
        </w:tc>
        <w:tc>
          <w:tcPr>
            <w:tcW w:type="dxa" w:w="6660"/>
            <w:vAlign w:val="center"/>
            <w:tcMar>
              <w:top w:w="80" w:type="dxa"/>
              <w:start w:w="120" w:type="dxa"/>
              <w:bottom w:w="80" w:type="dxa"/>
              <w:end w:w="120" w:type="dxa"/>
            </w:tcMar>
          </w:tcPr>
          <w:p>
            <w:pPr>
              <w:spacing w:after="0"/>
            </w:pPr>
            <w:r>
              <w:rPr>
                <w:rFonts w:ascii="Calibri" w:hAnsi="Calibri"/>
                <w:color w:val="20384A"/>
                <w:sz w:val="18"/>
              </w:rPr>
              <w:t>Returns, credits, financial edge cases, and duplicate candidates are retained and flagged</w:t>
            </w:r>
          </w:p>
        </w:tc>
      </w:tr>
    </w:tbl>
    <w:p>
      <w:pPr>
        <w:pStyle w:val="Heading2"/>
        <w:keepNext/>
      </w:pPr>
      <w:r>
        <w:t>Important limitations</w:t>
      </w:r>
    </w:p>
    <w:p>
      <w:pPr>
        <w:keepLines/>
      </w:pPr>
      <w:r>
        <w:rPr>
          <w:rFonts w:ascii="Calibri" w:hAnsi="Calibri"/>
          <w:color w:val="20384A"/>
          <w:sz w:val="22"/>
        </w:rPr>
        <w:t>The analysis is descriptive and ends in December 2024. Gross profit excludes operating expenses. Historical segment comparisons include reclassification effects. Inactivity is not confirmed churn, and the revenue-at-risk baseline is not expected future revenue, lifetime value, or forecast loss. Product, market, pricing, service-level, and sales-activity data are not available to establish causal drivers.</w:t>
      </w:r>
    </w:p>
    <w:p>
      <w:pPr>
        <w:pStyle w:val="Heading2"/>
        <w:keepNext/>
      </w:pPr>
      <w:r>
        <w:t>Reproduce the work</w:t>
      </w:r>
    </w:p>
    <w:p>
      <w:pPr>
        <w:keepLines/>
      </w:pPr>
      <w:r>
        <w:rPr>
          <w:rFonts w:ascii="Calibri" w:hAnsi="Calibri"/>
          <w:color w:val="20384A"/>
          <w:sz w:val="22"/>
        </w:rPr>
        <w:t>The repository contains the final question sheet, all seven anonymized and scaled annual transaction files, portable ingestion scripts, SQL for every analysis, validation checks, compact CSV outputs, and documentation for rebuilding the local SQLite database. The included files can be verified with the published checksum manifest.</w:t>
      </w:r>
    </w:p>
    <w:p>
      <w:pPr>
        <w:spacing w:before="80"/>
      </w:pPr>
      <w:r>
        <w:rPr>
          <w:rFonts w:ascii="Calibri" w:hAnsi="Calibri"/>
          <w:b/>
          <w:color w:val="20384A"/>
          <w:sz w:val="22"/>
        </w:rPr>
        <w:t xml:space="preserve">Repository: </w:t>
      </w:r>
      <w:hyperlink r:id="rId15">
        <w:r>
          <w:rPr>
            <w:color w:val="2E74B5"/>
            <w:u w:val="single"/>
          </w:rPr>
          <w:t>Distributor Company Case Study on GitHub</w:t>
        </w:r>
      </w:hyperlink>
    </w:p>
    <w:p>
      <w:pPr>
        <w:keepLines/>
      </w:pPr>
      <w:r>
        <w:rPr>
          <w:rFonts w:ascii="Calibri" w:hAnsi="Calibri"/>
          <w:color w:val="20384A"/>
          <w:sz w:val="22"/>
        </w:rPr>
        <w:t>Rebuild sequence: normalize UTF-8 encoding, prepare reference data, build the final SQLite database, run the validation suite, and execute the question-level analysis scripts. The companion Excel workbook provides a compact reviewer path without attempting to place the 3.7-million-row fact table into a worksheet.</w:t>
      </w:r>
    </w:p>
    <w:p>
      <w:pPr>
        <w:spacing w:before="80" w:after="160"/>
        <w:ind w:left="173" w:right="173"/>
        <w:shd w:fill="D9EAF7"/>
        <w:pBdr>
          <w:left w:val="single" w:sz="18" w:space="8" w:color="2E74B5"/>
        </w:pBdr>
      </w:pPr>
      <w:r>
        <w:rPr>
          <w:rFonts w:ascii="Calibri" w:hAnsi="Calibri"/>
          <w:b/>
          <w:color w:val="17365D"/>
          <w:sz w:val="22"/>
        </w:rPr>
        <w:t>Conclusion: The company has grown while improving gross profit and margin. Its clearest next steps are to protect Independent Retail, improve weaker margins in other large segments, and focus retention work on recently valuable inactive customers.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184"/>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07184"/>
        <w:sz w:val="17"/>
      </w:rPr>
      <w:t>REVENUE QUALITY &amp; CUSTOMER PROFITABILITY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60718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GlassHouse97/Distributor-Company-Case-Stu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Revenue Quality &amp; Customer Profitability Case Study</dc:title>
  <dc:subject>Portfolio case study analyzing growth, profitability, concentration, and retention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