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spacing w:after="280"/>
        <w:jc w:val="center"/>
      </w:pPr>
      <w:r>
        <w:rPr>
          <w:rFonts w:ascii="Calibri" w:hAnsi="Calibri"/>
          <w:b/>
          <w:color w:val="B7791F"/>
          <w:sz w:val="20"/>
        </w:rPr>
        <w:t>PORTFOLIO CASE STUDY</w:t>
      </w:r>
    </w:p>
    <w:p>
      <w:pPr>
        <w:spacing w:after="160"/>
        <w:jc w:val="center"/>
      </w:pPr>
      <w:r>
        <w:rPr>
          <w:rFonts w:ascii="Calibri" w:hAnsi="Calibri"/>
          <w:b/>
          <w:color w:val="17365D"/>
          <w:sz w:val="56"/>
        </w:rPr>
        <w:t>Revenue Quality &amp;</w:t>
        <w:br/>
        <w:t>Customer Profitability</w:t>
      </w:r>
    </w:p>
    <w:p>
      <w:pPr>
        <w:spacing w:after="680"/>
        <w:jc w:val="center"/>
      </w:pPr>
      <w:r>
        <w:rPr>
          <w:rFonts w:ascii="Calibri" w:hAnsi="Calibri"/>
          <w:color w:val="607184"/>
          <w:sz w:val="27"/>
        </w:rPr>
        <w:t>A distributor company case study | Recognized-period analysis, 2018-2024</w:t>
      </w:r>
    </w:p>
    <w:p>
      <w:pPr>
        <w:spacing w:before="80" w:after="160"/>
        <w:ind w:left="173" w:right="173"/>
        <w:shd w:fill="D9EAF7"/>
        <w:pBdr>
          <w:left w:val="single" w:sz="18" w:space="8" w:color="2E74B5"/>
        </w:pBdr>
      </w:pPr>
      <w:r>
        <w:rPr>
          <w:rFonts w:ascii="Calibri" w:hAnsi="Calibri"/>
          <w:b/>
          <w:color w:val="17365D"/>
          <w:sz w:val="22"/>
        </w:rPr>
        <w:t>Growth was profitable and customer-level diversification was strong. The next value opportunity is to defend the core segment, improve margin where scale is under-monetized, and prioritize retention by recoverable revenue.</w:t>
      </w:r>
    </w:p>
    <w:p>
      <w:pPr>
        <w:spacing w:before="760"/>
        <w:jc w:val="center"/>
      </w:pPr>
      <w:r>
        <w:rPr>
          <w:rFonts w:ascii="Calibri" w:hAnsi="Calibri"/>
          <w:i/>
          <w:color w:val="607184"/>
          <w:sz w:val="20"/>
        </w:rPr>
        <w:t>Business report | SQL and analyst outputs available in the companion repository</w:t>
      </w:r>
    </w:p>
    <w:p>
      <w:r>
        <w:br w:type="page"/>
      </w:r>
    </w:p>
    <w:p>
      <w:pPr>
        <w:pStyle w:val="Heading1"/>
        <w:keepNext/>
      </w:pPr>
      <w:r>
        <w:t>Executive Summary</w:t>
      </w:r>
    </w:p>
    <w:p>
      <w:pPr>
        <w:keepLines/>
      </w:pPr>
      <w:r>
        <w:rPr>
          <w:rFonts w:ascii="Calibri" w:hAnsi="Calibri"/>
          <w:color w:val="20384A"/>
          <w:sz w:val="22"/>
        </w:rPr>
        <w:t>The company’s 2018-2024 growth was profitable and broadly diversified across individual customers. Recognized revenue increased every year, gross profit grew faster, and gross margin expanded. The main strategic exposures are concentrated at the customer-segment level and in a sizable dormant-account pool.</w:t>
      </w:r>
    </w:p>
    <w:tbl>
      <w:tblPr>
        <w:tblW w:type="dxa" w:w="9360"/>
        <w:tblLayout w:type="fixed"/>
        <w:tblLook w:firstColumn="1" w:firstRow="1" w:lastColumn="0" w:lastRow="0" w:noHBand="0" w:noVBand="1" w:val="04A0"/>
        <w:jc w:val="left"/>
        <w:tblInd w:w="120" w:type="dxa"/>
        <w:tblBorders>
          <w:top w:val="single" w:sz="4" w:color="D9E0E7"/>
          <w:left w:val="single" w:sz="4" w:color="D9E0E7"/>
          <w:bottom w:val="single" w:sz="4" w:color="D9E0E7"/>
          <w:right w:val="single" w:sz="4" w:color="D9E0E7"/>
          <w:insideH w:val="single" w:sz="4" w:color="D9E0E7"/>
          <w:insideV w:val="single" w:sz="4" w:color="D9E0E7"/>
        </w:tblBorders>
      </w:tblPr>
      <w:tblGrid>
        <w:gridCol w:w="5600"/>
        <w:gridCol w:w="3760"/>
      </w:tblGrid>
      <w:tr>
        <w:trPr>
          <w:tblHeader w:val="true"/>
        </w:trPr>
        <w:tc>
          <w:tcPr>
            <w:tcW w:type="dxa" w:w="5600"/>
            <w:tcMar>
              <w:top w:w="80" w:type="dxa"/>
              <w:start w:w="120" w:type="dxa"/>
              <w:bottom w:w="80" w:type="dxa"/>
              <w:end w:w="120" w:type="dxa"/>
            </w:tcMar>
            <w:shd w:fill="F2F4F7"/>
            <w:vAlign w:val="center"/>
          </w:tcPr>
          <w:p>
            <w:pPr>
              <w:spacing w:after="0"/>
            </w:pPr>
            <w:r>
              <w:rPr>
                <w:rFonts w:ascii="Calibri" w:hAnsi="Calibri"/>
                <w:b/>
                <w:color w:val="17365D"/>
                <w:sz w:val="18"/>
              </w:rPr>
              <w:t>Validated measure</w:t>
            </w:r>
          </w:p>
        </w:tc>
        <w:tc>
          <w:tcPr>
            <w:tcW w:type="dxa" w:w="3760"/>
            <w:tcMar>
              <w:top w:w="80" w:type="dxa"/>
              <w:start w:w="120" w:type="dxa"/>
              <w:bottom w:w="80" w:type="dxa"/>
              <w:end w:w="120" w:type="dxa"/>
            </w:tcMar>
            <w:shd w:fill="F2F4F7"/>
            <w:vAlign w:val="center"/>
          </w:tcPr>
          <w:p>
            <w:pPr>
              <w:spacing w:after="0"/>
            </w:pPr>
            <w:r>
              <w:rPr>
                <w:rFonts w:ascii="Calibri" w:hAnsi="Calibri"/>
                <w:b/>
                <w:color w:val="17365D"/>
                <w:sz w:val="18"/>
              </w:rPr>
              <w:t>Result</w:t>
            </w:r>
          </w:p>
        </w:tc>
      </w:tr>
      <w:tr>
        <w:tc>
          <w:tcPr>
            <w:tcW w:type="dxa" w:w="5600"/>
            <w:vAlign w:val="center"/>
            <w:tcMar>
              <w:top w:w="80" w:type="dxa"/>
              <w:start w:w="120" w:type="dxa"/>
              <w:bottom w:w="80" w:type="dxa"/>
              <w:end w:w="120" w:type="dxa"/>
            </w:tcMar>
          </w:tcPr>
          <w:p>
            <w:pPr>
              <w:spacing w:after="0"/>
            </w:pPr>
            <w:r>
              <w:rPr>
                <w:rFonts w:ascii="Calibri" w:hAnsi="Calibri"/>
                <w:color w:val="20384A"/>
                <w:sz w:val="18"/>
              </w:rPr>
              <w:t>2018-2024 revenue growth</w:t>
            </w:r>
          </w:p>
        </w:tc>
        <w:tc>
          <w:tcPr>
            <w:tcW w:type="dxa" w:w="3760"/>
            <w:vAlign w:val="center"/>
            <w:tcMar>
              <w:top w:w="80" w:type="dxa"/>
              <w:start w:w="120" w:type="dxa"/>
              <w:bottom w:w="80" w:type="dxa"/>
              <w:end w:w="120" w:type="dxa"/>
            </w:tcMar>
          </w:tcPr>
          <w:p>
            <w:pPr>
              <w:spacing w:after="0"/>
            </w:pPr>
            <w:r>
              <w:rPr>
                <w:rFonts w:ascii="Calibri" w:hAnsi="Calibri"/>
                <w:color w:val="20384A"/>
                <w:sz w:val="18"/>
              </w:rPr>
              <w:t>65.0% ($79.4M to $131.0M)</w:t>
            </w:r>
          </w:p>
        </w:tc>
      </w:tr>
      <w:tr>
        <w:tc>
          <w:tcPr>
            <w:tcW w:type="dxa" w:w="5600"/>
            <w:vAlign w:val="center"/>
            <w:tcMar>
              <w:top w:w="80" w:type="dxa"/>
              <w:start w:w="120" w:type="dxa"/>
              <w:bottom w:w="80" w:type="dxa"/>
              <w:end w:w="120" w:type="dxa"/>
            </w:tcMar>
          </w:tcPr>
          <w:p>
            <w:pPr>
              <w:spacing w:after="0"/>
            </w:pPr>
            <w:r>
              <w:rPr>
                <w:rFonts w:ascii="Calibri" w:hAnsi="Calibri"/>
                <w:color w:val="20384A"/>
                <w:sz w:val="18"/>
              </w:rPr>
              <w:t>2018-2024 gross-profit growth</w:t>
            </w:r>
          </w:p>
        </w:tc>
        <w:tc>
          <w:tcPr>
            <w:tcW w:type="dxa" w:w="3760"/>
            <w:vAlign w:val="center"/>
            <w:tcMar>
              <w:top w:w="80" w:type="dxa"/>
              <w:start w:w="120" w:type="dxa"/>
              <w:bottom w:w="80" w:type="dxa"/>
              <w:end w:w="120" w:type="dxa"/>
            </w:tcMar>
          </w:tcPr>
          <w:p>
            <w:pPr>
              <w:spacing w:after="0"/>
            </w:pPr>
            <w:r>
              <w:rPr>
                <w:rFonts w:ascii="Calibri" w:hAnsi="Calibri"/>
                <w:color w:val="20384A"/>
                <w:sz w:val="18"/>
              </w:rPr>
              <w:t>89.6% ($15.2M to $28.8M)</w:t>
            </w:r>
          </w:p>
        </w:tc>
      </w:tr>
      <w:tr>
        <w:tc>
          <w:tcPr>
            <w:tcW w:type="dxa" w:w="5600"/>
            <w:vAlign w:val="center"/>
            <w:tcMar>
              <w:top w:w="80" w:type="dxa"/>
              <w:start w:w="120" w:type="dxa"/>
              <w:bottom w:w="80" w:type="dxa"/>
              <w:end w:w="120" w:type="dxa"/>
            </w:tcMar>
          </w:tcPr>
          <w:p>
            <w:pPr>
              <w:spacing w:after="0"/>
            </w:pPr>
            <w:r>
              <w:rPr>
                <w:rFonts w:ascii="Calibri" w:hAnsi="Calibri"/>
                <w:color w:val="20384A"/>
                <w:sz w:val="18"/>
              </w:rPr>
              <w:t>Gross-margin change</w:t>
            </w:r>
          </w:p>
        </w:tc>
        <w:tc>
          <w:tcPr>
            <w:tcW w:type="dxa" w:w="3760"/>
            <w:vAlign w:val="center"/>
            <w:tcMar>
              <w:top w:w="80" w:type="dxa"/>
              <w:start w:w="120" w:type="dxa"/>
              <w:bottom w:w="80" w:type="dxa"/>
              <w:end w:w="120" w:type="dxa"/>
            </w:tcMar>
          </w:tcPr>
          <w:p>
            <w:pPr>
              <w:spacing w:after="0"/>
            </w:pPr>
            <w:r>
              <w:rPr>
                <w:rFonts w:ascii="Calibri" w:hAnsi="Calibri"/>
                <w:color w:val="20384A"/>
                <w:sz w:val="18"/>
              </w:rPr>
              <w:t>+2.86 percentage points</w:t>
            </w:r>
          </w:p>
        </w:tc>
      </w:tr>
      <w:tr>
        <w:tc>
          <w:tcPr>
            <w:tcW w:type="dxa" w:w="5600"/>
            <w:vAlign w:val="center"/>
            <w:tcMar>
              <w:top w:w="80" w:type="dxa"/>
              <w:start w:w="120" w:type="dxa"/>
              <w:bottom w:w="80" w:type="dxa"/>
              <w:end w:w="120" w:type="dxa"/>
            </w:tcMar>
          </w:tcPr>
          <w:p>
            <w:pPr>
              <w:spacing w:after="0"/>
            </w:pPr>
            <w:r>
              <w:rPr>
                <w:rFonts w:ascii="Calibri" w:hAnsi="Calibri"/>
                <w:color w:val="20384A"/>
                <w:sz w:val="18"/>
              </w:rPr>
              <w:t>Largest segment revenue share</w:t>
            </w:r>
          </w:p>
        </w:tc>
        <w:tc>
          <w:tcPr>
            <w:tcW w:type="dxa" w:w="3760"/>
            <w:vAlign w:val="center"/>
            <w:tcMar>
              <w:top w:w="80" w:type="dxa"/>
              <w:start w:w="120" w:type="dxa"/>
              <w:bottom w:w="80" w:type="dxa"/>
              <w:end w:w="120" w:type="dxa"/>
            </w:tcMar>
          </w:tcPr>
          <w:p>
            <w:pPr>
              <w:spacing w:after="0"/>
            </w:pPr>
            <w:r>
              <w:rPr>
                <w:rFonts w:ascii="Calibri" w:hAnsi="Calibri"/>
                <w:color w:val="20384A"/>
                <w:sz w:val="18"/>
              </w:rPr>
              <w:t>48.75%</w:t>
            </w:r>
          </w:p>
        </w:tc>
      </w:tr>
      <w:tr>
        <w:tc>
          <w:tcPr>
            <w:tcW w:type="dxa" w:w="5600"/>
            <w:vAlign w:val="center"/>
            <w:tcMar>
              <w:top w:w="80" w:type="dxa"/>
              <w:start w:w="120" w:type="dxa"/>
              <w:bottom w:w="80" w:type="dxa"/>
              <w:end w:w="120" w:type="dxa"/>
            </w:tcMar>
          </w:tcPr>
          <w:p>
            <w:pPr>
              <w:spacing w:after="0"/>
            </w:pPr>
            <w:r>
              <w:rPr>
                <w:rFonts w:ascii="Calibri" w:hAnsi="Calibri"/>
                <w:color w:val="20384A"/>
                <w:sz w:val="18"/>
              </w:rPr>
              <w:t>Largest customer revenue share</w:t>
            </w:r>
          </w:p>
        </w:tc>
        <w:tc>
          <w:tcPr>
            <w:tcW w:type="dxa" w:w="3760"/>
            <w:vAlign w:val="center"/>
            <w:tcMar>
              <w:top w:w="80" w:type="dxa"/>
              <w:start w:w="120" w:type="dxa"/>
              <w:bottom w:w="80" w:type="dxa"/>
              <w:end w:w="120" w:type="dxa"/>
            </w:tcMar>
          </w:tcPr>
          <w:p>
            <w:pPr>
              <w:spacing w:after="0"/>
            </w:pPr>
            <w:r>
              <w:rPr>
                <w:rFonts w:ascii="Calibri" w:hAnsi="Calibri"/>
                <w:color w:val="20384A"/>
                <w:sz w:val="18"/>
              </w:rPr>
              <w:t>1.13%</w:t>
            </w:r>
          </w:p>
        </w:tc>
      </w:tr>
      <w:tr>
        <w:tc>
          <w:tcPr>
            <w:tcW w:type="dxa" w:w="5600"/>
            <w:vAlign w:val="center"/>
            <w:tcMar>
              <w:top w:w="80" w:type="dxa"/>
              <w:start w:w="120" w:type="dxa"/>
              <w:bottom w:w="80" w:type="dxa"/>
              <w:end w:w="120" w:type="dxa"/>
            </w:tcMar>
          </w:tcPr>
          <w:p>
            <w:pPr>
              <w:spacing w:after="0"/>
            </w:pPr>
            <w:r>
              <w:rPr>
                <w:rFonts w:ascii="Calibri" w:hAnsi="Calibri"/>
                <w:color w:val="20384A"/>
                <w:sz w:val="18"/>
              </w:rPr>
              <w:t>Trailing revenue baseline at risk</w:t>
            </w:r>
          </w:p>
        </w:tc>
        <w:tc>
          <w:tcPr>
            <w:tcW w:type="dxa" w:w="3760"/>
            <w:vAlign w:val="center"/>
            <w:tcMar>
              <w:top w:w="80" w:type="dxa"/>
              <w:start w:w="120" w:type="dxa"/>
              <w:bottom w:w="80" w:type="dxa"/>
              <w:end w:w="120" w:type="dxa"/>
            </w:tcMar>
          </w:tcPr>
          <w:p>
            <w:pPr>
              <w:spacing w:after="0"/>
            </w:pPr>
            <w:r>
              <w:rPr>
                <w:rFonts w:ascii="Calibri" w:hAnsi="Calibri"/>
                <w:color w:val="20384A"/>
                <w:sz w:val="18"/>
              </w:rPr>
              <w:t>$23.0M (17.60% of 2024 revenue)</w:t>
            </w:r>
          </w:p>
        </w:tc>
      </w:tr>
    </w:tbl>
    <w:p>
      <w:pPr>
        <w:pStyle w:val="Heading2"/>
        <w:keepNext/>
      </w:pPr>
      <w:r>
        <w:t>What leadership should do</w:t>
      </w:r>
    </w:p>
    <w:tbl>
      <w:tblPr>
        <w:tblW w:type="dxa" w:w="9360"/>
        <w:tblLayout w:type="fixed"/>
        <w:tblLook w:firstColumn="1" w:firstRow="1" w:lastColumn="0" w:lastRow="0" w:noHBand="0" w:noVBand="1" w:val="04A0"/>
        <w:jc w:val="left"/>
        <w:tblInd w:w="120" w:type="dxa"/>
        <w:tblBorders>
          <w:top w:val="single" w:sz="4" w:color="D9E0E7"/>
          <w:left w:val="single" w:sz="4" w:color="D9E0E7"/>
          <w:bottom w:val="single" w:sz="4" w:color="D9E0E7"/>
          <w:right w:val="single" w:sz="4" w:color="D9E0E7"/>
          <w:insideH w:val="single" w:sz="4" w:color="D9E0E7"/>
          <w:insideV w:val="single" w:sz="4" w:color="D9E0E7"/>
        </w:tblBorders>
      </w:tblPr>
      <w:tblGrid>
        <w:gridCol w:w="900"/>
        <w:gridCol w:w="4230"/>
        <w:gridCol w:w="4230"/>
      </w:tblGrid>
      <w:tr>
        <w:trPr>
          <w:tblHeader w:val="true"/>
        </w:trPr>
        <w:tc>
          <w:tcPr>
            <w:tcW w:type="dxa" w:w="900"/>
            <w:tcMar>
              <w:top w:w="80" w:type="dxa"/>
              <w:start w:w="120" w:type="dxa"/>
              <w:bottom w:w="80" w:type="dxa"/>
              <w:end w:w="120" w:type="dxa"/>
            </w:tcMar>
            <w:shd w:fill="F2F4F7"/>
            <w:vAlign w:val="center"/>
          </w:tcPr>
          <w:p>
            <w:pPr>
              <w:spacing w:after="0"/>
            </w:pPr>
            <w:r>
              <w:rPr>
                <w:rFonts w:ascii="Calibri" w:hAnsi="Calibri"/>
                <w:b/>
                <w:color w:val="17365D"/>
                <w:sz w:val="18"/>
              </w:rPr>
              <w:t>Priority</w:t>
            </w:r>
          </w:p>
        </w:tc>
        <w:tc>
          <w:tcPr>
            <w:tcW w:type="dxa" w:w="4230"/>
            <w:tcMar>
              <w:top w:w="80" w:type="dxa"/>
              <w:start w:w="120" w:type="dxa"/>
              <w:bottom w:w="80" w:type="dxa"/>
              <w:end w:w="120" w:type="dxa"/>
            </w:tcMar>
            <w:shd w:fill="F2F4F7"/>
            <w:vAlign w:val="center"/>
          </w:tcPr>
          <w:p>
            <w:pPr>
              <w:spacing w:after="0"/>
            </w:pPr>
            <w:r>
              <w:rPr>
                <w:rFonts w:ascii="Calibri" w:hAnsi="Calibri"/>
                <w:b/>
                <w:color w:val="17365D"/>
                <w:sz w:val="18"/>
              </w:rPr>
              <w:t>Action</w:t>
            </w:r>
          </w:p>
        </w:tc>
        <w:tc>
          <w:tcPr>
            <w:tcW w:type="dxa" w:w="4230"/>
            <w:tcMar>
              <w:top w:w="80" w:type="dxa"/>
              <w:start w:w="120" w:type="dxa"/>
              <w:bottom w:w="80" w:type="dxa"/>
              <w:end w:w="120" w:type="dxa"/>
            </w:tcMar>
            <w:shd w:fill="F2F4F7"/>
            <w:vAlign w:val="center"/>
          </w:tcPr>
          <w:p>
            <w:pPr>
              <w:spacing w:after="0"/>
            </w:pPr>
            <w:r>
              <w:rPr>
                <w:rFonts w:ascii="Calibri" w:hAnsi="Calibri"/>
                <w:b/>
                <w:color w:val="17365D"/>
                <w:sz w:val="18"/>
              </w:rPr>
              <w:t>Expected benefit</w:t>
            </w:r>
          </w:p>
        </w:tc>
      </w:tr>
      <w:tr>
        <w:tc>
          <w:tcPr>
            <w:tcW w:type="dxa" w:w="900"/>
            <w:vAlign w:val="center"/>
            <w:tcMar>
              <w:top w:w="80" w:type="dxa"/>
              <w:start w:w="120" w:type="dxa"/>
              <w:bottom w:w="80" w:type="dxa"/>
              <w:end w:w="120" w:type="dxa"/>
            </w:tcMar>
          </w:tcPr>
          <w:p>
            <w:pPr>
              <w:spacing w:after="0"/>
            </w:pPr>
            <w:r>
              <w:rPr>
                <w:rFonts w:ascii="Calibri" w:hAnsi="Calibri"/>
                <w:color w:val="20384A"/>
                <w:sz w:val="18"/>
              </w:rPr>
              <w:t>1</w:t>
            </w:r>
          </w:p>
        </w:tc>
        <w:tc>
          <w:tcPr>
            <w:tcW w:type="dxa" w:w="4230"/>
            <w:vAlign w:val="center"/>
            <w:tcMar>
              <w:top w:w="80" w:type="dxa"/>
              <w:start w:w="120" w:type="dxa"/>
              <w:bottom w:w="80" w:type="dxa"/>
              <w:end w:w="120" w:type="dxa"/>
            </w:tcMar>
          </w:tcPr>
          <w:p>
            <w:pPr>
              <w:spacing w:after="0"/>
            </w:pPr>
            <w:r>
              <w:rPr>
                <w:rFonts w:ascii="Calibri" w:hAnsi="Calibri"/>
                <w:color w:val="20384A"/>
                <w:sz w:val="18"/>
              </w:rPr>
              <w:t>Protect Independent Retail while expanding high-margin segments</w:t>
            </w:r>
          </w:p>
        </w:tc>
        <w:tc>
          <w:tcPr>
            <w:tcW w:type="dxa" w:w="4230"/>
            <w:vAlign w:val="center"/>
            <w:tcMar>
              <w:top w:w="80" w:type="dxa"/>
              <w:start w:w="120" w:type="dxa"/>
              <w:bottom w:w="80" w:type="dxa"/>
              <w:end w:w="120" w:type="dxa"/>
            </w:tcMar>
          </w:tcPr>
          <w:p>
            <w:pPr>
              <w:spacing w:after="0"/>
            </w:pPr>
            <w:r>
              <w:rPr>
                <w:rFonts w:ascii="Calibri" w:hAnsi="Calibri"/>
                <w:color w:val="20384A"/>
                <w:sz w:val="18"/>
              </w:rPr>
              <w:t>Defend the main profit pool and improve diversification</w:t>
            </w:r>
          </w:p>
        </w:tc>
      </w:tr>
      <w:tr>
        <w:tc>
          <w:tcPr>
            <w:tcW w:type="dxa" w:w="900"/>
            <w:vAlign w:val="center"/>
            <w:tcMar>
              <w:top w:w="80" w:type="dxa"/>
              <w:start w:w="120" w:type="dxa"/>
              <w:bottom w:w="80" w:type="dxa"/>
              <w:end w:w="120" w:type="dxa"/>
            </w:tcMar>
          </w:tcPr>
          <w:p>
            <w:pPr>
              <w:spacing w:after="0"/>
            </w:pPr>
            <w:r>
              <w:rPr>
                <w:rFonts w:ascii="Calibri" w:hAnsi="Calibri"/>
                <w:color w:val="20384A"/>
                <w:sz w:val="18"/>
              </w:rPr>
              <w:t>2</w:t>
            </w:r>
          </w:p>
        </w:tc>
        <w:tc>
          <w:tcPr>
            <w:tcW w:type="dxa" w:w="4230"/>
            <w:vAlign w:val="center"/>
            <w:tcMar>
              <w:top w:w="80" w:type="dxa"/>
              <w:start w:w="120" w:type="dxa"/>
              <w:bottom w:w="80" w:type="dxa"/>
              <w:end w:w="120" w:type="dxa"/>
            </w:tcMar>
          </w:tcPr>
          <w:p>
            <w:pPr>
              <w:spacing w:after="0"/>
            </w:pPr>
            <w:r>
              <w:rPr>
                <w:rFonts w:ascii="Calibri" w:hAnsi="Calibri"/>
                <w:color w:val="20384A"/>
                <w:sz w:val="18"/>
              </w:rPr>
              <w:t>Launch a monthly value-based retention queue</w:t>
            </w:r>
          </w:p>
        </w:tc>
        <w:tc>
          <w:tcPr>
            <w:tcW w:type="dxa" w:w="4230"/>
            <w:vAlign w:val="center"/>
            <w:tcMar>
              <w:top w:w="80" w:type="dxa"/>
              <w:start w:w="120" w:type="dxa"/>
              <w:bottom w:w="80" w:type="dxa"/>
              <w:end w:w="120" w:type="dxa"/>
            </w:tcMar>
          </w:tcPr>
          <w:p>
            <w:pPr>
              <w:spacing w:after="0"/>
            </w:pPr>
            <w:r>
              <w:rPr>
                <w:rFonts w:ascii="Calibri" w:hAnsi="Calibri"/>
                <w:color w:val="20384A"/>
                <w:sz w:val="18"/>
              </w:rPr>
              <w:t>Prioritize recent, high-value risk and measure reactivation</w:t>
            </w:r>
          </w:p>
        </w:tc>
      </w:tr>
      <w:tr>
        <w:tc>
          <w:tcPr>
            <w:tcW w:type="dxa" w:w="900"/>
            <w:vAlign w:val="center"/>
            <w:tcMar>
              <w:top w:w="80" w:type="dxa"/>
              <w:start w:w="120" w:type="dxa"/>
              <w:bottom w:w="80" w:type="dxa"/>
              <w:end w:w="120" w:type="dxa"/>
            </w:tcMar>
          </w:tcPr>
          <w:p>
            <w:pPr>
              <w:spacing w:after="0"/>
            </w:pPr>
            <w:r>
              <w:rPr>
                <w:rFonts w:ascii="Calibri" w:hAnsi="Calibri"/>
                <w:color w:val="20384A"/>
                <w:sz w:val="18"/>
              </w:rPr>
              <w:t>3</w:t>
            </w:r>
          </w:p>
        </w:tc>
        <w:tc>
          <w:tcPr>
            <w:tcW w:type="dxa" w:w="4230"/>
            <w:vAlign w:val="center"/>
            <w:tcMar>
              <w:top w:w="80" w:type="dxa"/>
              <w:start w:w="120" w:type="dxa"/>
              <w:bottom w:w="80" w:type="dxa"/>
              <w:end w:w="120" w:type="dxa"/>
            </w:tcMar>
          </w:tcPr>
          <w:p>
            <w:pPr>
              <w:spacing w:after="0"/>
            </w:pPr>
            <w:r>
              <w:rPr>
                <w:rFonts w:ascii="Calibri" w:hAnsi="Calibri"/>
                <w:color w:val="20384A"/>
                <w:sz w:val="18"/>
              </w:rPr>
              <w:t>Review pricing and cost-to-serve in margin-light segments</w:t>
            </w:r>
          </w:p>
        </w:tc>
        <w:tc>
          <w:tcPr>
            <w:tcW w:type="dxa" w:w="4230"/>
            <w:vAlign w:val="center"/>
            <w:tcMar>
              <w:top w:w="80" w:type="dxa"/>
              <w:start w:w="120" w:type="dxa"/>
              <w:bottom w:w="80" w:type="dxa"/>
              <w:end w:w="120" w:type="dxa"/>
            </w:tcMar>
          </w:tcPr>
          <w:p>
            <w:pPr>
              <w:spacing w:after="0"/>
            </w:pPr>
            <w:r>
              <w:rPr>
                <w:rFonts w:ascii="Calibri" w:hAnsi="Calibri"/>
                <w:color w:val="20384A"/>
                <w:sz w:val="18"/>
              </w:rPr>
              <w:t>Convert existing scale into incremental gross profit</w:t>
            </w:r>
          </w:p>
        </w:tc>
      </w:tr>
    </w:tbl>
    <w:p>
      <w:pPr>
        <w:keepLines/>
      </w:pPr>
      <w:r>
        <w:rPr>
          <w:rFonts w:ascii="Calibri" w:hAnsi="Calibri"/>
          <w:color w:val="20384A"/>
          <w:sz w:val="22"/>
        </w:rPr>
        <w:t>The conclusion is descriptive, not predictive. Gross profit excludes operating expenses, inactivity is not confirmed churn, and the revenue-at-risk measure is a trailing historical baseline rather than a forecast of future loss.</w:t>
      </w:r>
    </w:p>
    <w:p>
      <w:r>
        <w:br w:type="page"/>
      </w:r>
    </w:p>
    <w:p>
      <w:pPr>
        <w:pStyle w:val="Heading1"/>
        <w:keepNext/>
      </w:pPr>
      <w:r>
        <w:t>1. Revenue and Margin Trends</w:t>
      </w:r>
    </w:p>
    <w:p>
      <w:pPr>
        <w:spacing w:before="80" w:after="160"/>
        <w:ind w:left="173" w:right="173"/>
        <w:shd w:fill="D9EAF7"/>
        <w:pBdr>
          <w:left w:val="single" w:sz="18" w:space="8" w:color="2E74B5"/>
        </w:pBdr>
      </w:pPr>
      <w:r>
        <w:rPr>
          <w:rFonts w:ascii="Calibri" w:hAnsi="Calibri"/>
          <w:b/>
          <w:color w:val="17365D"/>
          <w:sz w:val="22"/>
        </w:rPr>
        <w:t>Recognized revenue rose every year, and gross profit grew faster than revenue.</w:t>
      </w:r>
    </w:p>
    <w:p>
      <w:pPr>
        <w:keepNext/>
        <w:spacing w:before="40" w:after="40"/>
        <w:jc w:val="center"/>
      </w:pPr>
      <w:r>
        <w:drawing>
          <wp:inline xmlns:a="http://schemas.openxmlformats.org/drawingml/2006/main" xmlns:pic="http://schemas.openxmlformats.org/drawingml/2006/picture">
            <wp:extent cx="5897880" cy="3317558"/>
            <wp:docPr id="1" name="Picture 1" descr="Stacked annual revenue bars show cost and gross profit from 2018 through 2024, with an accompanying gross-margin line rising from 19.15 percent to 22.01 percent." title="Stacked annual revenue bars show cost and gross profit from 2018 through 2024, with an accompanying gross-margin line rising from 19.15 percent to 22.01 percent."/>
            <wp:cNvGraphicFramePr>
              <a:graphicFrameLocks noChangeAspect="1"/>
            </wp:cNvGraphicFramePr>
            <a:graphic>
              <a:graphicData uri="http://schemas.openxmlformats.org/drawingml/2006/picture">
                <pic:pic>
                  <pic:nvPicPr>
                    <pic:cNvPr id="0" name="01_revenue_margin_trends.png"/>
                    <pic:cNvPicPr/>
                  </pic:nvPicPr>
                  <pic:blipFill>
                    <a:blip r:embed="rId11"/>
                    <a:stretch>
                      <a:fillRect/>
                    </a:stretch>
                  </pic:blipFill>
                  <pic:spPr>
                    <a:xfrm>
                      <a:off x="0" y="0"/>
                      <a:ext cx="5897880" cy="3317558"/>
                    </a:xfrm>
                    <a:prstGeom prst="rect"/>
                  </pic:spPr>
                </pic:pic>
              </a:graphicData>
            </a:graphic>
          </wp:inline>
        </w:drawing>
      </w:r>
    </w:p>
    <w:p>
      <w:pPr>
        <w:pStyle w:val="Caption"/>
        <w:spacing w:before="40" w:after="160"/>
        <w:jc w:val="center"/>
      </w:pPr>
      <w:r>
        <w:rPr>
          <w:rFonts w:ascii="Calibri" w:hAnsi="Calibri"/>
          <w:i/>
          <w:color w:val="607184"/>
          <w:sz w:val="18"/>
        </w:rPr>
        <w:t>Figure 1. Annual recognized revenue composition and gross-margin trend.</w:t>
      </w:r>
    </w:p>
    <w:tbl>
      <w:tblPr>
        <w:tblW w:type="dxa" w:w="9360"/>
        <w:tblLayout w:type="fixed"/>
        <w:tblLook w:firstColumn="1" w:firstRow="1" w:lastColumn="0" w:lastRow="0" w:noHBand="0" w:noVBand="1" w:val="04A0"/>
        <w:jc w:val="left"/>
        <w:tblInd w:w="120" w:type="dxa"/>
        <w:tblBorders>
          <w:top w:val="single" w:sz="4" w:color="D9E0E7"/>
          <w:left w:val="single" w:sz="4" w:color="D9E0E7"/>
          <w:bottom w:val="single" w:sz="4" w:color="D9E0E7"/>
          <w:right w:val="single" w:sz="4" w:color="D9E0E7"/>
          <w:insideH w:val="single" w:sz="4" w:color="D9E0E7"/>
          <w:insideV w:val="single" w:sz="4" w:color="D9E0E7"/>
        </w:tblBorders>
      </w:tblPr>
      <w:tblGrid>
        <w:gridCol w:w="900"/>
        <w:gridCol w:w="2200"/>
        <w:gridCol w:w="2200"/>
        <w:gridCol w:w="1800"/>
        <w:gridCol w:w="2260"/>
      </w:tblGrid>
      <w:tr>
        <w:trPr>
          <w:tblHeader w:val="true"/>
        </w:trPr>
        <w:tc>
          <w:tcPr>
            <w:tcW w:type="dxa" w:w="900"/>
            <w:tcMar>
              <w:top w:w="80" w:type="dxa"/>
              <w:start w:w="120" w:type="dxa"/>
              <w:bottom w:w="80" w:type="dxa"/>
              <w:end w:w="120" w:type="dxa"/>
            </w:tcMar>
            <w:shd w:fill="F2F4F7"/>
            <w:vAlign w:val="center"/>
          </w:tcPr>
          <w:p>
            <w:pPr>
              <w:spacing w:after="0"/>
            </w:pPr>
            <w:r>
              <w:rPr>
                <w:rFonts w:ascii="Calibri" w:hAnsi="Calibri"/>
                <w:b/>
                <w:color w:val="17365D"/>
                <w:sz w:val="18"/>
              </w:rPr>
              <w:t>Year</w:t>
            </w:r>
          </w:p>
        </w:tc>
        <w:tc>
          <w:tcPr>
            <w:tcW w:type="dxa" w:w="2200"/>
            <w:tcMar>
              <w:top w:w="80" w:type="dxa"/>
              <w:start w:w="120" w:type="dxa"/>
              <w:bottom w:w="80" w:type="dxa"/>
              <w:end w:w="120" w:type="dxa"/>
            </w:tcMar>
            <w:shd w:fill="F2F4F7"/>
            <w:vAlign w:val="center"/>
          </w:tcPr>
          <w:p>
            <w:pPr>
              <w:spacing w:after="0"/>
            </w:pPr>
            <w:r>
              <w:rPr>
                <w:rFonts w:ascii="Calibri" w:hAnsi="Calibri"/>
                <w:b/>
                <w:color w:val="17365D"/>
                <w:sz w:val="18"/>
              </w:rPr>
              <w:t>Revenue</w:t>
            </w:r>
          </w:p>
        </w:tc>
        <w:tc>
          <w:tcPr>
            <w:tcW w:type="dxa" w:w="2200"/>
            <w:tcMar>
              <w:top w:w="80" w:type="dxa"/>
              <w:start w:w="120" w:type="dxa"/>
              <w:bottom w:w="80" w:type="dxa"/>
              <w:end w:w="120" w:type="dxa"/>
            </w:tcMar>
            <w:shd w:fill="F2F4F7"/>
            <w:vAlign w:val="center"/>
          </w:tcPr>
          <w:p>
            <w:pPr>
              <w:spacing w:after="0"/>
            </w:pPr>
            <w:r>
              <w:rPr>
                <w:rFonts w:ascii="Calibri" w:hAnsi="Calibri"/>
                <w:b/>
                <w:color w:val="17365D"/>
                <w:sz w:val="18"/>
              </w:rPr>
              <w:t>Gross profit</w:t>
            </w:r>
          </w:p>
        </w:tc>
        <w:tc>
          <w:tcPr>
            <w:tcW w:type="dxa" w:w="1800"/>
            <w:tcMar>
              <w:top w:w="80" w:type="dxa"/>
              <w:start w:w="120" w:type="dxa"/>
              <w:bottom w:w="80" w:type="dxa"/>
              <w:end w:w="120" w:type="dxa"/>
            </w:tcMar>
            <w:shd w:fill="F2F4F7"/>
            <w:vAlign w:val="center"/>
          </w:tcPr>
          <w:p>
            <w:pPr>
              <w:spacing w:after="0"/>
            </w:pPr>
            <w:r>
              <w:rPr>
                <w:rFonts w:ascii="Calibri" w:hAnsi="Calibri"/>
                <w:b/>
                <w:color w:val="17365D"/>
                <w:sz w:val="18"/>
              </w:rPr>
              <w:t>Margin</w:t>
            </w:r>
          </w:p>
        </w:tc>
        <w:tc>
          <w:tcPr>
            <w:tcW w:type="dxa" w:w="2260"/>
            <w:tcMar>
              <w:top w:w="80" w:type="dxa"/>
              <w:start w:w="120" w:type="dxa"/>
              <w:bottom w:w="80" w:type="dxa"/>
              <w:end w:w="120" w:type="dxa"/>
            </w:tcMar>
            <w:shd w:fill="F2F4F7"/>
            <w:vAlign w:val="center"/>
          </w:tcPr>
          <w:p>
            <w:pPr>
              <w:spacing w:after="0"/>
            </w:pPr>
            <w:r>
              <w:rPr>
                <w:rFonts w:ascii="Calibri" w:hAnsi="Calibri"/>
                <w:b/>
                <w:color w:val="17365D"/>
                <w:sz w:val="18"/>
              </w:rPr>
              <w:t>Revenue YoY</w:t>
            </w:r>
          </w:p>
        </w:tc>
      </w:tr>
      <w:tr>
        <w:tc>
          <w:tcPr>
            <w:tcW w:type="dxa" w:w="900"/>
            <w:vAlign w:val="center"/>
            <w:tcMar>
              <w:top w:w="80" w:type="dxa"/>
              <w:start w:w="120" w:type="dxa"/>
              <w:bottom w:w="80" w:type="dxa"/>
              <w:end w:w="120" w:type="dxa"/>
            </w:tcMar>
          </w:tcPr>
          <w:p>
            <w:pPr>
              <w:spacing w:after="0"/>
              <w:jc w:val="center"/>
            </w:pPr>
            <w:r>
              <w:rPr>
                <w:rFonts w:ascii="Calibri" w:hAnsi="Calibri"/>
                <w:color w:val="20384A"/>
                <w:sz w:val="18"/>
              </w:rPr>
              <w:t>2018</w:t>
            </w:r>
          </w:p>
        </w:tc>
        <w:tc>
          <w:tcPr>
            <w:tcW w:type="dxa" w:w="2200"/>
            <w:vAlign w:val="center"/>
            <w:tcMar>
              <w:top w:w="80" w:type="dxa"/>
              <w:start w:w="120" w:type="dxa"/>
              <w:bottom w:w="80" w:type="dxa"/>
              <w:end w:w="120" w:type="dxa"/>
            </w:tcMar>
          </w:tcPr>
          <w:p>
            <w:pPr>
              <w:spacing w:after="0"/>
              <w:jc w:val="right"/>
            </w:pPr>
            <w:r>
              <w:rPr>
                <w:rFonts w:ascii="Calibri" w:hAnsi="Calibri"/>
                <w:color w:val="20384A"/>
                <w:sz w:val="18"/>
              </w:rPr>
              <w:t>$79.4M</w:t>
            </w:r>
          </w:p>
        </w:tc>
        <w:tc>
          <w:tcPr>
            <w:tcW w:type="dxa" w:w="2200"/>
            <w:vAlign w:val="center"/>
            <w:tcMar>
              <w:top w:w="80" w:type="dxa"/>
              <w:start w:w="120" w:type="dxa"/>
              <w:bottom w:w="80" w:type="dxa"/>
              <w:end w:w="120" w:type="dxa"/>
            </w:tcMar>
          </w:tcPr>
          <w:p>
            <w:pPr>
              <w:spacing w:after="0"/>
              <w:jc w:val="right"/>
            </w:pPr>
            <w:r>
              <w:rPr>
                <w:rFonts w:ascii="Calibri" w:hAnsi="Calibri"/>
                <w:color w:val="20384A"/>
                <w:sz w:val="18"/>
              </w:rPr>
              <w:t>$15.2M</w:t>
            </w:r>
          </w:p>
        </w:tc>
        <w:tc>
          <w:tcPr>
            <w:tcW w:type="dxa" w:w="1800"/>
            <w:vAlign w:val="center"/>
            <w:tcMar>
              <w:top w:w="80" w:type="dxa"/>
              <w:start w:w="120" w:type="dxa"/>
              <w:bottom w:w="80" w:type="dxa"/>
              <w:end w:w="120" w:type="dxa"/>
            </w:tcMar>
          </w:tcPr>
          <w:p>
            <w:pPr>
              <w:spacing w:after="0"/>
              <w:jc w:val="right"/>
            </w:pPr>
            <w:r>
              <w:rPr>
                <w:rFonts w:ascii="Calibri" w:hAnsi="Calibri"/>
                <w:color w:val="20384A"/>
                <w:sz w:val="18"/>
              </w:rPr>
              <w:t>19.15%</w:t>
            </w:r>
          </w:p>
        </w:tc>
        <w:tc>
          <w:tcPr>
            <w:tcW w:type="dxa" w:w="2260"/>
            <w:vAlign w:val="center"/>
            <w:tcMar>
              <w:top w:w="80" w:type="dxa"/>
              <w:start w:w="120" w:type="dxa"/>
              <w:bottom w:w="80" w:type="dxa"/>
              <w:end w:w="120" w:type="dxa"/>
            </w:tcMar>
          </w:tcPr>
          <w:p>
            <w:pPr>
              <w:spacing w:after="0"/>
              <w:jc w:val="right"/>
            </w:pPr>
            <w:r>
              <w:rPr>
                <w:rFonts w:ascii="Calibri" w:hAnsi="Calibri"/>
                <w:color w:val="20384A"/>
                <w:sz w:val="18"/>
              </w:rPr>
              <w:t>-</w:t>
            </w:r>
          </w:p>
        </w:tc>
      </w:tr>
      <w:tr>
        <w:tc>
          <w:tcPr>
            <w:tcW w:type="dxa" w:w="900"/>
            <w:vAlign w:val="center"/>
            <w:tcMar>
              <w:top w:w="80" w:type="dxa"/>
              <w:start w:w="120" w:type="dxa"/>
              <w:bottom w:w="80" w:type="dxa"/>
              <w:end w:w="120" w:type="dxa"/>
            </w:tcMar>
          </w:tcPr>
          <w:p>
            <w:pPr>
              <w:spacing w:after="0"/>
              <w:jc w:val="center"/>
            </w:pPr>
            <w:r>
              <w:rPr>
                <w:rFonts w:ascii="Calibri" w:hAnsi="Calibri"/>
                <w:color w:val="20384A"/>
                <w:sz w:val="18"/>
              </w:rPr>
              <w:t>2019</w:t>
            </w:r>
          </w:p>
        </w:tc>
        <w:tc>
          <w:tcPr>
            <w:tcW w:type="dxa" w:w="2200"/>
            <w:vAlign w:val="center"/>
            <w:tcMar>
              <w:top w:w="80" w:type="dxa"/>
              <w:start w:w="120" w:type="dxa"/>
              <w:bottom w:w="80" w:type="dxa"/>
              <w:end w:w="120" w:type="dxa"/>
            </w:tcMar>
          </w:tcPr>
          <w:p>
            <w:pPr>
              <w:spacing w:after="0"/>
              <w:jc w:val="right"/>
            </w:pPr>
            <w:r>
              <w:rPr>
                <w:rFonts w:ascii="Calibri" w:hAnsi="Calibri"/>
                <w:color w:val="20384A"/>
                <w:sz w:val="18"/>
              </w:rPr>
              <w:t>$82.9M</w:t>
            </w:r>
          </w:p>
        </w:tc>
        <w:tc>
          <w:tcPr>
            <w:tcW w:type="dxa" w:w="2200"/>
            <w:vAlign w:val="center"/>
            <w:tcMar>
              <w:top w:w="80" w:type="dxa"/>
              <w:start w:w="120" w:type="dxa"/>
              <w:bottom w:w="80" w:type="dxa"/>
              <w:end w:w="120" w:type="dxa"/>
            </w:tcMar>
          </w:tcPr>
          <w:p>
            <w:pPr>
              <w:spacing w:after="0"/>
              <w:jc w:val="right"/>
            </w:pPr>
            <w:r>
              <w:rPr>
                <w:rFonts w:ascii="Calibri" w:hAnsi="Calibri"/>
                <w:color w:val="20384A"/>
                <w:sz w:val="18"/>
              </w:rPr>
              <w:t>$17.0M</w:t>
            </w:r>
          </w:p>
        </w:tc>
        <w:tc>
          <w:tcPr>
            <w:tcW w:type="dxa" w:w="1800"/>
            <w:vAlign w:val="center"/>
            <w:tcMar>
              <w:top w:w="80" w:type="dxa"/>
              <w:start w:w="120" w:type="dxa"/>
              <w:bottom w:w="80" w:type="dxa"/>
              <w:end w:w="120" w:type="dxa"/>
            </w:tcMar>
          </w:tcPr>
          <w:p>
            <w:pPr>
              <w:spacing w:after="0"/>
              <w:jc w:val="right"/>
            </w:pPr>
            <w:r>
              <w:rPr>
                <w:rFonts w:ascii="Calibri" w:hAnsi="Calibri"/>
                <w:color w:val="20384A"/>
                <w:sz w:val="18"/>
              </w:rPr>
              <w:t>20.47%</w:t>
            </w:r>
          </w:p>
        </w:tc>
        <w:tc>
          <w:tcPr>
            <w:tcW w:type="dxa" w:w="2260"/>
            <w:vAlign w:val="center"/>
            <w:tcMar>
              <w:top w:w="80" w:type="dxa"/>
              <w:start w:w="120" w:type="dxa"/>
              <w:bottom w:w="80" w:type="dxa"/>
              <w:end w:w="120" w:type="dxa"/>
            </w:tcMar>
          </w:tcPr>
          <w:p>
            <w:pPr>
              <w:spacing w:after="0"/>
              <w:jc w:val="right"/>
            </w:pPr>
            <w:r>
              <w:rPr>
                <w:rFonts w:ascii="Calibri" w:hAnsi="Calibri"/>
                <w:color w:val="20384A"/>
                <w:sz w:val="18"/>
              </w:rPr>
              <w:t>4.49%</w:t>
            </w:r>
          </w:p>
        </w:tc>
      </w:tr>
      <w:tr>
        <w:tc>
          <w:tcPr>
            <w:tcW w:type="dxa" w:w="900"/>
            <w:vAlign w:val="center"/>
            <w:tcMar>
              <w:top w:w="80" w:type="dxa"/>
              <w:start w:w="120" w:type="dxa"/>
              <w:bottom w:w="80" w:type="dxa"/>
              <w:end w:w="120" w:type="dxa"/>
            </w:tcMar>
          </w:tcPr>
          <w:p>
            <w:pPr>
              <w:spacing w:after="0"/>
              <w:jc w:val="center"/>
            </w:pPr>
            <w:r>
              <w:rPr>
                <w:rFonts w:ascii="Calibri" w:hAnsi="Calibri"/>
                <w:color w:val="20384A"/>
                <w:sz w:val="18"/>
              </w:rPr>
              <w:t>2020</w:t>
            </w:r>
          </w:p>
        </w:tc>
        <w:tc>
          <w:tcPr>
            <w:tcW w:type="dxa" w:w="2200"/>
            <w:vAlign w:val="center"/>
            <w:tcMar>
              <w:top w:w="80" w:type="dxa"/>
              <w:start w:w="120" w:type="dxa"/>
              <w:bottom w:w="80" w:type="dxa"/>
              <w:end w:w="120" w:type="dxa"/>
            </w:tcMar>
          </w:tcPr>
          <w:p>
            <w:pPr>
              <w:spacing w:after="0"/>
              <w:jc w:val="right"/>
            </w:pPr>
            <w:r>
              <w:rPr>
                <w:rFonts w:ascii="Calibri" w:hAnsi="Calibri"/>
                <w:color w:val="20384A"/>
                <w:sz w:val="18"/>
              </w:rPr>
              <w:t>$88.3M</w:t>
            </w:r>
          </w:p>
        </w:tc>
        <w:tc>
          <w:tcPr>
            <w:tcW w:type="dxa" w:w="2200"/>
            <w:vAlign w:val="center"/>
            <w:tcMar>
              <w:top w:w="80" w:type="dxa"/>
              <w:start w:w="120" w:type="dxa"/>
              <w:bottom w:w="80" w:type="dxa"/>
              <w:end w:w="120" w:type="dxa"/>
            </w:tcMar>
          </w:tcPr>
          <w:p>
            <w:pPr>
              <w:spacing w:after="0"/>
              <w:jc w:val="right"/>
            </w:pPr>
            <w:r>
              <w:rPr>
                <w:rFonts w:ascii="Calibri" w:hAnsi="Calibri"/>
                <w:color w:val="20384A"/>
                <w:sz w:val="18"/>
              </w:rPr>
              <w:t>$18.9M</w:t>
            </w:r>
          </w:p>
        </w:tc>
        <w:tc>
          <w:tcPr>
            <w:tcW w:type="dxa" w:w="1800"/>
            <w:vAlign w:val="center"/>
            <w:tcMar>
              <w:top w:w="80" w:type="dxa"/>
              <w:start w:w="120" w:type="dxa"/>
              <w:bottom w:w="80" w:type="dxa"/>
              <w:end w:w="120" w:type="dxa"/>
            </w:tcMar>
          </w:tcPr>
          <w:p>
            <w:pPr>
              <w:spacing w:after="0"/>
              <w:jc w:val="right"/>
            </w:pPr>
            <w:r>
              <w:rPr>
                <w:rFonts w:ascii="Calibri" w:hAnsi="Calibri"/>
                <w:color w:val="20384A"/>
                <w:sz w:val="18"/>
              </w:rPr>
              <w:t>21.43%</w:t>
            </w:r>
          </w:p>
        </w:tc>
        <w:tc>
          <w:tcPr>
            <w:tcW w:type="dxa" w:w="2260"/>
            <w:vAlign w:val="center"/>
            <w:tcMar>
              <w:top w:w="80" w:type="dxa"/>
              <w:start w:w="120" w:type="dxa"/>
              <w:bottom w:w="80" w:type="dxa"/>
              <w:end w:w="120" w:type="dxa"/>
            </w:tcMar>
          </w:tcPr>
          <w:p>
            <w:pPr>
              <w:spacing w:after="0"/>
              <w:jc w:val="right"/>
            </w:pPr>
            <w:r>
              <w:rPr>
                <w:rFonts w:ascii="Calibri" w:hAnsi="Calibri"/>
                <w:color w:val="20384A"/>
                <w:sz w:val="18"/>
              </w:rPr>
              <w:t>6.44%</w:t>
            </w:r>
          </w:p>
        </w:tc>
      </w:tr>
      <w:tr>
        <w:tc>
          <w:tcPr>
            <w:tcW w:type="dxa" w:w="900"/>
            <w:vAlign w:val="center"/>
            <w:tcMar>
              <w:top w:w="80" w:type="dxa"/>
              <w:start w:w="120" w:type="dxa"/>
              <w:bottom w:w="80" w:type="dxa"/>
              <w:end w:w="120" w:type="dxa"/>
            </w:tcMar>
          </w:tcPr>
          <w:p>
            <w:pPr>
              <w:spacing w:after="0"/>
              <w:jc w:val="center"/>
            </w:pPr>
            <w:r>
              <w:rPr>
                <w:rFonts w:ascii="Calibri" w:hAnsi="Calibri"/>
                <w:color w:val="20384A"/>
                <w:sz w:val="18"/>
              </w:rPr>
              <w:t>2021</w:t>
            </w:r>
          </w:p>
        </w:tc>
        <w:tc>
          <w:tcPr>
            <w:tcW w:type="dxa" w:w="2200"/>
            <w:vAlign w:val="center"/>
            <w:tcMar>
              <w:top w:w="80" w:type="dxa"/>
              <w:start w:w="120" w:type="dxa"/>
              <w:bottom w:w="80" w:type="dxa"/>
              <w:end w:w="120" w:type="dxa"/>
            </w:tcMar>
          </w:tcPr>
          <w:p>
            <w:pPr>
              <w:spacing w:after="0"/>
              <w:jc w:val="right"/>
            </w:pPr>
            <w:r>
              <w:rPr>
                <w:rFonts w:ascii="Calibri" w:hAnsi="Calibri"/>
                <w:color w:val="20384A"/>
                <w:sz w:val="18"/>
              </w:rPr>
              <w:t>$103.0M</w:t>
            </w:r>
          </w:p>
        </w:tc>
        <w:tc>
          <w:tcPr>
            <w:tcW w:type="dxa" w:w="2200"/>
            <w:vAlign w:val="center"/>
            <w:tcMar>
              <w:top w:w="80" w:type="dxa"/>
              <w:start w:w="120" w:type="dxa"/>
              <w:bottom w:w="80" w:type="dxa"/>
              <w:end w:w="120" w:type="dxa"/>
            </w:tcMar>
          </w:tcPr>
          <w:p>
            <w:pPr>
              <w:spacing w:after="0"/>
              <w:jc w:val="right"/>
            </w:pPr>
            <w:r>
              <w:rPr>
                <w:rFonts w:ascii="Calibri" w:hAnsi="Calibri"/>
                <w:color w:val="20384A"/>
                <w:sz w:val="18"/>
              </w:rPr>
              <w:t>$22.0M</w:t>
            </w:r>
          </w:p>
        </w:tc>
        <w:tc>
          <w:tcPr>
            <w:tcW w:type="dxa" w:w="1800"/>
            <w:vAlign w:val="center"/>
            <w:tcMar>
              <w:top w:w="80" w:type="dxa"/>
              <w:start w:w="120" w:type="dxa"/>
              <w:bottom w:w="80" w:type="dxa"/>
              <w:end w:w="120" w:type="dxa"/>
            </w:tcMar>
          </w:tcPr>
          <w:p>
            <w:pPr>
              <w:spacing w:after="0"/>
              <w:jc w:val="right"/>
            </w:pPr>
            <w:r>
              <w:rPr>
                <w:rFonts w:ascii="Calibri" w:hAnsi="Calibri"/>
                <w:color w:val="20384A"/>
                <w:sz w:val="18"/>
              </w:rPr>
              <w:t>21.39%</w:t>
            </w:r>
          </w:p>
        </w:tc>
        <w:tc>
          <w:tcPr>
            <w:tcW w:type="dxa" w:w="2260"/>
            <w:vAlign w:val="center"/>
            <w:tcMar>
              <w:top w:w="80" w:type="dxa"/>
              <w:start w:w="120" w:type="dxa"/>
              <w:bottom w:w="80" w:type="dxa"/>
              <w:end w:w="120" w:type="dxa"/>
            </w:tcMar>
          </w:tcPr>
          <w:p>
            <w:pPr>
              <w:spacing w:after="0"/>
              <w:jc w:val="right"/>
            </w:pPr>
            <w:r>
              <w:rPr>
                <w:rFonts w:ascii="Calibri" w:hAnsi="Calibri"/>
                <w:color w:val="20384A"/>
                <w:sz w:val="18"/>
              </w:rPr>
              <w:t>16.65%</w:t>
            </w:r>
          </w:p>
        </w:tc>
      </w:tr>
      <w:tr>
        <w:tc>
          <w:tcPr>
            <w:tcW w:type="dxa" w:w="900"/>
            <w:vAlign w:val="center"/>
            <w:tcMar>
              <w:top w:w="80" w:type="dxa"/>
              <w:start w:w="120" w:type="dxa"/>
              <w:bottom w:w="80" w:type="dxa"/>
              <w:end w:w="120" w:type="dxa"/>
            </w:tcMar>
          </w:tcPr>
          <w:p>
            <w:pPr>
              <w:spacing w:after="0"/>
              <w:jc w:val="center"/>
            </w:pPr>
            <w:r>
              <w:rPr>
                <w:rFonts w:ascii="Calibri" w:hAnsi="Calibri"/>
                <w:color w:val="20384A"/>
                <w:sz w:val="18"/>
              </w:rPr>
              <w:t>2022</w:t>
            </w:r>
          </w:p>
        </w:tc>
        <w:tc>
          <w:tcPr>
            <w:tcW w:type="dxa" w:w="2200"/>
            <w:vAlign w:val="center"/>
            <w:tcMar>
              <w:top w:w="80" w:type="dxa"/>
              <w:start w:w="120" w:type="dxa"/>
              <w:bottom w:w="80" w:type="dxa"/>
              <w:end w:w="120" w:type="dxa"/>
            </w:tcMar>
          </w:tcPr>
          <w:p>
            <w:pPr>
              <w:spacing w:after="0"/>
              <w:jc w:val="right"/>
            </w:pPr>
            <w:r>
              <w:rPr>
                <w:rFonts w:ascii="Calibri" w:hAnsi="Calibri"/>
                <w:color w:val="20384A"/>
                <w:sz w:val="18"/>
              </w:rPr>
              <w:t>$116.4M</w:t>
            </w:r>
          </w:p>
        </w:tc>
        <w:tc>
          <w:tcPr>
            <w:tcW w:type="dxa" w:w="2200"/>
            <w:vAlign w:val="center"/>
            <w:tcMar>
              <w:top w:w="80" w:type="dxa"/>
              <w:start w:w="120" w:type="dxa"/>
              <w:bottom w:w="80" w:type="dxa"/>
              <w:end w:w="120" w:type="dxa"/>
            </w:tcMar>
          </w:tcPr>
          <w:p>
            <w:pPr>
              <w:spacing w:after="0"/>
              <w:jc w:val="right"/>
            </w:pPr>
            <w:r>
              <w:rPr>
                <w:rFonts w:ascii="Calibri" w:hAnsi="Calibri"/>
                <w:color w:val="20384A"/>
                <w:sz w:val="18"/>
              </w:rPr>
              <w:t>$25.1M</w:t>
            </w:r>
          </w:p>
        </w:tc>
        <w:tc>
          <w:tcPr>
            <w:tcW w:type="dxa" w:w="1800"/>
            <w:vAlign w:val="center"/>
            <w:tcMar>
              <w:top w:w="80" w:type="dxa"/>
              <w:start w:w="120" w:type="dxa"/>
              <w:bottom w:w="80" w:type="dxa"/>
              <w:end w:w="120" w:type="dxa"/>
            </w:tcMar>
          </w:tcPr>
          <w:p>
            <w:pPr>
              <w:spacing w:after="0"/>
              <w:jc w:val="right"/>
            </w:pPr>
            <w:r>
              <w:rPr>
                <w:rFonts w:ascii="Calibri" w:hAnsi="Calibri"/>
                <w:color w:val="20384A"/>
                <w:sz w:val="18"/>
              </w:rPr>
              <w:t>21.56%</w:t>
            </w:r>
          </w:p>
        </w:tc>
        <w:tc>
          <w:tcPr>
            <w:tcW w:type="dxa" w:w="2260"/>
            <w:vAlign w:val="center"/>
            <w:tcMar>
              <w:top w:w="80" w:type="dxa"/>
              <w:start w:w="120" w:type="dxa"/>
              <w:bottom w:w="80" w:type="dxa"/>
              <w:end w:w="120" w:type="dxa"/>
            </w:tcMar>
          </w:tcPr>
          <w:p>
            <w:pPr>
              <w:spacing w:after="0"/>
              <w:jc w:val="right"/>
            </w:pPr>
            <w:r>
              <w:rPr>
                <w:rFonts w:ascii="Calibri" w:hAnsi="Calibri"/>
                <w:color w:val="20384A"/>
                <w:sz w:val="18"/>
              </w:rPr>
              <w:t>12.99%</w:t>
            </w:r>
          </w:p>
        </w:tc>
      </w:tr>
      <w:tr>
        <w:tc>
          <w:tcPr>
            <w:tcW w:type="dxa" w:w="900"/>
            <w:vAlign w:val="center"/>
            <w:tcMar>
              <w:top w:w="80" w:type="dxa"/>
              <w:start w:w="120" w:type="dxa"/>
              <w:bottom w:w="80" w:type="dxa"/>
              <w:end w:w="120" w:type="dxa"/>
            </w:tcMar>
          </w:tcPr>
          <w:p>
            <w:pPr>
              <w:spacing w:after="0"/>
              <w:jc w:val="center"/>
            </w:pPr>
            <w:r>
              <w:rPr>
                <w:rFonts w:ascii="Calibri" w:hAnsi="Calibri"/>
                <w:color w:val="20384A"/>
                <w:sz w:val="18"/>
              </w:rPr>
              <w:t>2023</w:t>
            </w:r>
          </w:p>
        </w:tc>
        <w:tc>
          <w:tcPr>
            <w:tcW w:type="dxa" w:w="2200"/>
            <w:vAlign w:val="center"/>
            <w:tcMar>
              <w:top w:w="80" w:type="dxa"/>
              <w:start w:w="120" w:type="dxa"/>
              <w:bottom w:w="80" w:type="dxa"/>
              <w:end w:w="120" w:type="dxa"/>
            </w:tcMar>
          </w:tcPr>
          <w:p>
            <w:pPr>
              <w:spacing w:after="0"/>
              <w:jc w:val="right"/>
            </w:pPr>
            <w:r>
              <w:rPr>
                <w:rFonts w:ascii="Calibri" w:hAnsi="Calibri"/>
                <w:color w:val="20384A"/>
                <w:sz w:val="18"/>
              </w:rPr>
              <w:t>$123.5M</w:t>
            </w:r>
          </w:p>
        </w:tc>
        <w:tc>
          <w:tcPr>
            <w:tcW w:type="dxa" w:w="2200"/>
            <w:vAlign w:val="center"/>
            <w:tcMar>
              <w:top w:w="80" w:type="dxa"/>
              <w:start w:w="120" w:type="dxa"/>
              <w:bottom w:w="80" w:type="dxa"/>
              <w:end w:w="120" w:type="dxa"/>
            </w:tcMar>
          </w:tcPr>
          <w:p>
            <w:pPr>
              <w:spacing w:after="0"/>
              <w:jc w:val="right"/>
            </w:pPr>
            <w:r>
              <w:rPr>
                <w:rFonts w:ascii="Calibri" w:hAnsi="Calibri"/>
                <w:color w:val="20384A"/>
                <w:sz w:val="18"/>
              </w:rPr>
              <w:t>$26.9M</w:t>
            </w:r>
          </w:p>
        </w:tc>
        <w:tc>
          <w:tcPr>
            <w:tcW w:type="dxa" w:w="1800"/>
            <w:vAlign w:val="center"/>
            <w:tcMar>
              <w:top w:w="80" w:type="dxa"/>
              <w:start w:w="120" w:type="dxa"/>
              <w:bottom w:w="80" w:type="dxa"/>
              <w:end w:w="120" w:type="dxa"/>
            </w:tcMar>
          </w:tcPr>
          <w:p>
            <w:pPr>
              <w:spacing w:after="0"/>
              <w:jc w:val="right"/>
            </w:pPr>
            <w:r>
              <w:rPr>
                <w:rFonts w:ascii="Calibri" w:hAnsi="Calibri"/>
                <w:color w:val="20384A"/>
                <w:sz w:val="18"/>
              </w:rPr>
              <w:t>21.76%</w:t>
            </w:r>
          </w:p>
        </w:tc>
        <w:tc>
          <w:tcPr>
            <w:tcW w:type="dxa" w:w="2260"/>
            <w:vAlign w:val="center"/>
            <w:tcMar>
              <w:top w:w="80" w:type="dxa"/>
              <w:start w:w="120" w:type="dxa"/>
              <w:bottom w:w="80" w:type="dxa"/>
              <w:end w:w="120" w:type="dxa"/>
            </w:tcMar>
          </w:tcPr>
          <w:p>
            <w:pPr>
              <w:spacing w:after="0"/>
              <w:jc w:val="right"/>
            </w:pPr>
            <w:r>
              <w:rPr>
                <w:rFonts w:ascii="Calibri" w:hAnsi="Calibri"/>
                <w:color w:val="20384A"/>
                <w:sz w:val="18"/>
              </w:rPr>
              <w:t>6.15%</w:t>
            </w:r>
          </w:p>
        </w:tc>
      </w:tr>
      <w:tr>
        <w:tc>
          <w:tcPr>
            <w:tcW w:type="dxa" w:w="900"/>
            <w:vAlign w:val="center"/>
            <w:tcMar>
              <w:top w:w="80" w:type="dxa"/>
              <w:start w:w="120" w:type="dxa"/>
              <w:bottom w:w="80" w:type="dxa"/>
              <w:end w:w="120" w:type="dxa"/>
            </w:tcMar>
          </w:tcPr>
          <w:p>
            <w:pPr>
              <w:spacing w:after="0"/>
              <w:jc w:val="center"/>
            </w:pPr>
            <w:r>
              <w:rPr>
                <w:rFonts w:ascii="Calibri" w:hAnsi="Calibri"/>
                <w:color w:val="20384A"/>
                <w:sz w:val="18"/>
              </w:rPr>
              <w:t>2024</w:t>
            </w:r>
          </w:p>
        </w:tc>
        <w:tc>
          <w:tcPr>
            <w:tcW w:type="dxa" w:w="2200"/>
            <w:vAlign w:val="center"/>
            <w:tcMar>
              <w:top w:w="80" w:type="dxa"/>
              <w:start w:w="120" w:type="dxa"/>
              <w:bottom w:w="80" w:type="dxa"/>
              <w:end w:w="120" w:type="dxa"/>
            </w:tcMar>
          </w:tcPr>
          <w:p>
            <w:pPr>
              <w:spacing w:after="0"/>
              <w:jc w:val="right"/>
            </w:pPr>
            <w:r>
              <w:rPr>
                <w:rFonts w:ascii="Calibri" w:hAnsi="Calibri"/>
                <w:color w:val="20384A"/>
                <w:sz w:val="18"/>
              </w:rPr>
              <w:t>$131.0M</w:t>
            </w:r>
          </w:p>
        </w:tc>
        <w:tc>
          <w:tcPr>
            <w:tcW w:type="dxa" w:w="2200"/>
            <w:vAlign w:val="center"/>
            <w:tcMar>
              <w:top w:w="80" w:type="dxa"/>
              <w:start w:w="120" w:type="dxa"/>
              <w:bottom w:w="80" w:type="dxa"/>
              <w:end w:w="120" w:type="dxa"/>
            </w:tcMar>
          </w:tcPr>
          <w:p>
            <w:pPr>
              <w:spacing w:after="0"/>
              <w:jc w:val="right"/>
            </w:pPr>
            <w:r>
              <w:rPr>
                <w:rFonts w:ascii="Calibri" w:hAnsi="Calibri"/>
                <w:color w:val="20384A"/>
                <w:sz w:val="18"/>
              </w:rPr>
              <w:t>$28.8M</w:t>
            </w:r>
          </w:p>
        </w:tc>
        <w:tc>
          <w:tcPr>
            <w:tcW w:type="dxa" w:w="1800"/>
            <w:vAlign w:val="center"/>
            <w:tcMar>
              <w:top w:w="80" w:type="dxa"/>
              <w:start w:w="120" w:type="dxa"/>
              <w:bottom w:w="80" w:type="dxa"/>
              <w:end w:w="120" w:type="dxa"/>
            </w:tcMar>
          </w:tcPr>
          <w:p>
            <w:pPr>
              <w:spacing w:after="0"/>
              <w:jc w:val="right"/>
            </w:pPr>
            <w:r>
              <w:rPr>
                <w:rFonts w:ascii="Calibri" w:hAnsi="Calibri"/>
                <w:color w:val="20384A"/>
                <w:sz w:val="18"/>
              </w:rPr>
              <w:t>22.01%</w:t>
            </w:r>
          </w:p>
        </w:tc>
        <w:tc>
          <w:tcPr>
            <w:tcW w:type="dxa" w:w="2260"/>
            <w:vAlign w:val="center"/>
            <w:tcMar>
              <w:top w:w="80" w:type="dxa"/>
              <w:start w:w="120" w:type="dxa"/>
              <w:bottom w:w="80" w:type="dxa"/>
              <w:end w:w="120" w:type="dxa"/>
            </w:tcMar>
          </w:tcPr>
          <w:p>
            <w:pPr>
              <w:spacing w:after="0"/>
              <w:jc w:val="right"/>
            </w:pPr>
            <w:r>
              <w:rPr>
                <w:rFonts w:ascii="Calibri" w:hAnsi="Calibri"/>
                <w:color w:val="20384A"/>
                <w:sz w:val="18"/>
              </w:rPr>
              <w:t>6.05%</w:t>
            </w:r>
          </w:p>
        </w:tc>
      </w:tr>
    </w:tbl>
    <w:p>
      <w:pPr>
        <w:keepLines/>
      </w:pPr>
      <w:r>
        <w:rPr>
          <w:rFonts w:ascii="Calibri" w:hAnsi="Calibri"/>
          <w:color w:val="20384A"/>
          <w:sz w:val="22"/>
        </w:rPr>
        <w:t>Revenue increased 65.0% over the period, while gross profit increased 89.6%. Margin expanded in five of six year-over-year comparisons. Revenue growth slowed to about 6% in both 2023 and 2024, but profit still outpaced revenue, which is consistent with maturing rather than deteriorating growth.</w:t>
      </w:r>
    </w:p>
    <w:p>
      <w:r>
        <w:br w:type="page"/>
      </w:r>
    </w:p>
    <w:p>
      <w:pPr>
        <w:pStyle w:val="Heading1"/>
        <w:keepNext/>
      </w:pPr>
      <w:r>
        <w:t>2. Customer Segment Profitability</w:t>
      </w:r>
    </w:p>
    <w:p>
      <w:pPr>
        <w:spacing w:before="80" w:after="160"/>
        <w:ind w:left="173" w:right="173"/>
        <w:shd w:fill="D9EAF7"/>
        <w:pBdr>
          <w:left w:val="single" w:sz="18" w:space="8" w:color="2E74B5"/>
        </w:pBdr>
      </w:pPr>
      <w:r>
        <w:rPr>
          <w:rFonts w:ascii="Calibri" w:hAnsi="Calibri"/>
          <w:b/>
          <w:color w:val="17365D"/>
          <w:sz w:val="22"/>
        </w:rPr>
        <w:t>Independent Retail is both the economic engine and the principal segment-level exposure.</w:t>
      </w:r>
    </w:p>
    <w:p>
      <w:pPr>
        <w:keepNext/>
        <w:spacing w:before="40" w:after="40"/>
        <w:jc w:val="center"/>
      </w:pPr>
      <w:r>
        <w:drawing>
          <wp:inline xmlns:a="http://schemas.openxmlformats.org/drawingml/2006/main" xmlns:pic="http://schemas.openxmlformats.org/drawingml/2006/picture">
            <wp:extent cx="5897880" cy="3759898"/>
            <wp:docPr id="2" name="Picture 2" descr="Horizontal bars compare revenue share and gross-profit share for the ten largest historical customer segments." title="Horizontal bars compare revenue share and gross-profit share for the ten largest historical customer segments."/>
            <wp:cNvGraphicFramePr>
              <a:graphicFrameLocks noChangeAspect="1"/>
            </wp:cNvGraphicFramePr>
            <a:graphic>
              <a:graphicData uri="http://schemas.openxmlformats.org/drawingml/2006/picture">
                <pic:pic>
                  <pic:nvPicPr>
                    <pic:cNvPr id="0" name="02_segment_profitability.png"/>
                    <pic:cNvPicPr/>
                  </pic:nvPicPr>
                  <pic:blipFill>
                    <a:blip r:embed="rId12"/>
                    <a:stretch>
                      <a:fillRect/>
                    </a:stretch>
                  </pic:blipFill>
                  <pic:spPr>
                    <a:xfrm>
                      <a:off x="0" y="0"/>
                      <a:ext cx="5897880" cy="3759898"/>
                    </a:xfrm>
                    <a:prstGeom prst="rect"/>
                  </pic:spPr>
                </pic:pic>
              </a:graphicData>
            </a:graphic>
          </wp:inline>
        </w:drawing>
      </w:r>
    </w:p>
    <w:p>
      <w:pPr>
        <w:pStyle w:val="Caption"/>
        <w:spacing w:before="40" w:after="160"/>
        <w:jc w:val="center"/>
      </w:pPr>
      <w:r>
        <w:rPr>
          <w:rFonts w:ascii="Calibri" w:hAnsi="Calibri"/>
          <w:i/>
          <w:color w:val="607184"/>
          <w:sz w:val="18"/>
        </w:rPr>
        <w:t>Figure 2. Segment scale compared with profit contribution.</w:t>
      </w:r>
    </w:p>
    <w:tbl>
      <w:tblPr>
        <w:tblW w:type="dxa" w:w="9360"/>
        <w:tblLayout w:type="fixed"/>
        <w:tblLook w:firstColumn="1" w:firstRow="1" w:lastColumn="0" w:lastRow="0" w:noHBand="0" w:noVBand="1" w:val="04A0"/>
        <w:jc w:val="left"/>
        <w:tblInd w:w="120" w:type="dxa"/>
        <w:tblBorders>
          <w:top w:val="single" w:sz="4" w:color="D9E0E7"/>
          <w:left w:val="single" w:sz="4" w:color="D9E0E7"/>
          <w:bottom w:val="single" w:sz="4" w:color="D9E0E7"/>
          <w:right w:val="single" w:sz="4" w:color="D9E0E7"/>
          <w:insideH w:val="single" w:sz="4" w:color="D9E0E7"/>
          <w:insideV w:val="single" w:sz="4" w:color="D9E0E7"/>
        </w:tblBorders>
      </w:tblPr>
      <w:tblGrid>
        <w:gridCol w:w="520"/>
        <w:gridCol w:w="3040"/>
        <w:gridCol w:w="1450"/>
        <w:gridCol w:w="1450"/>
        <w:gridCol w:w="1450"/>
        <w:gridCol w:w="1450"/>
      </w:tblGrid>
      <w:tr>
        <w:trPr>
          <w:tblHeader w:val="true"/>
        </w:trPr>
        <w:tc>
          <w:tcPr>
            <w:tcW w:type="dxa" w:w="520"/>
            <w:tcMar>
              <w:top w:w="80" w:type="dxa"/>
              <w:start w:w="120" w:type="dxa"/>
              <w:bottom w:w="80" w:type="dxa"/>
              <w:end w:w="120" w:type="dxa"/>
            </w:tcMar>
            <w:shd w:fill="F2F4F7"/>
            <w:vAlign w:val="center"/>
          </w:tcPr>
          <w:p>
            <w:pPr>
              <w:spacing w:after="0"/>
            </w:pPr>
            <w:r>
              <w:rPr>
                <w:rFonts w:ascii="Calibri" w:hAnsi="Calibri"/>
                <w:b/>
                <w:color w:val="17365D"/>
                <w:sz w:val="18"/>
              </w:rPr>
              <w:t>#</w:t>
            </w:r>
          </w:p>
        </w:tc>
        <w:tc>
          <w:tcPr>
            <w:tcW w:type="dxa" w:w="3040"/>
            <w:tcMar>
              <w:top w:w="80" w:type="dxa"/>
              <w:start w:w="120" w:type="dxa"/>
              <w:bottom w:w="80" w:type="dxa"/>
              <w:end w:w="120" w:type="dxa"/>
            </w:tcMar>
            <w:shd w:fill="F2F4F7"/>
            <w:vAlign w:val="center"/>
          </w:tcPr>
          <w:p>
            <w:pPr>
              <w:spacing w:after="0"/>
            </w:pPr>
            <w:r>
              <w:rPr>
                <w:rFonts w:ascii="Calibri" w:hAnsi="Calibri"/>
                <w:b/>
                <w:color w:val="17365D"/>
                <w:sz w:val="18"/>
              </w:rPr>
              <w:t>Customer segment</w:t>
            </w:r>
          </w:p>
        </w:tc>
        <w:tc>
          <w:tcPr>
            <w:tcW w:type="dxa" w:w="1450"/>
            <w:tcMar>
              <w:top w:w="80" w:type="dxa"/>
              <w:start w:w="120" w:type="dxa"/>
              <w:bottom w:w="80" w:type="dxa"/>
              <w:end w:w="120" w:type="dxa"/>
            </w:tcMar>
            <w:shd w:fill="F2F4F7"/>
            <w:vAlign w:val="center"/>
          </w:tcPr>
          <w:p>
            <w:pPr>
              <w:spacing w:after="0"/>
            </w:pPr>
            <w:r>
              <w:rPr>
                <w:rFonts w:ascii="Calibri" w:hAnsi="Calibri"/>
                <w:b/>
                <w:color w:val="17365D"/>
                <w:sz w:val="18"/>
              </w:rPr>
              <w:t>Revenue</w:t>
            </w:r>
          </w:p>
        </w:tc>
        <w:tc>
          <w:tcPr>
            <w:tcW w:type="dxa" w:w="1450"/>
            <w:tcMar>
              <w:top w:w="80" w:type="dxa"/>
              <w:start w:w="120" w:type="dxa"/>
              <w:bottom w:w="80" w:type="dxa"/>
              <w:end w:w="120" w:type="dxa"/>
            </w:tcMar>
            <w:shd w:fill="F2F4F7"/>
            <w:vAlign w:val="center"/>
          </w:tcPr>
          <w:p>
            <w:pPr>
              <w:spacing w:after="0"/>
            </w:pPr>
            <w:r>
              <w:rPr>
                <w:rFonts w:ascii="Calibri" w:hAnsi="Calibri"/>
                <w:b/>
                <w:color w:val="17365D"/>
                <w:sz w:val="18"/>
              </w:rPr>
              <w:t>Gross profit</w:t>
            </w:r>
          </w:p>
        </w:tc>
        <w:tc>
          <w:tcPr>
            <w:tcW w:type="dxa" w:w="1450"/>
            <w:tcMar>
              <w:top w:w="80" w:type="dxa"/>
              <w:start w:w="120" w:type="dxa"/>
              <w:bottom w:w="80" w:type="dxa"/>
              <w:end w:w="120" w:type="dxa"/>
            </w:tcMar>
            <w:shd w:fill="F2F4F7"/>
            <w:vAlign w:val="center"/>
          </w:tcPr>
          <w:p>
            <w:pPr>
              <w:spacing w:after="0"/>
            </w:pPr>
            <w:r>
              <w:rPr>
                <w:rFonts w:ascii="Calibri" w:hAnsi="Calibri"/>
                <w:b/>
                <w:color w:val="17365D"/>
                <w:sz w:val="18"/>
              </w:rPr>
              <w:t>Margin</w:t>
            </w:r>
          </w:p>
        </w:tc>
        <w:tc>
          <w:tcPr>
            <w:tcW w:type="dxa" w:w="1450"/>
            <w:tcMar>
              <w:top w:w="80" w:type="dxa"/>
              <w:start w:w="120" w:type="dxa"/>
              <w:bottom w:w="80" w:type="dxa"/>
              <w:end w:w="120" w:type="dxa"/>
            </w:tcMar>
            <w:shd w:fill="F2F4F7"/>
            <w:vAlign w:val="center"/>
          </w:tcPr>
          <w:p>
            <w:pPr>
              <w:spacing w:after="0"/>
            </w:pPr>
            <w:r>
              <w:rPr>
                <w:rFonts w:ascii="Calibri" w:hAnsi="Calibri"/>
                <w:b/>
                <w:color w:val="17365D"/>
                <w:sz w:val="18"/>
              </w:rPr>
              <w:t>Rev. share</w:t>
            </w:r>
          </w:p>
        </w:tc>
      </w:tr>
      <w:tr>
        <w:tc>
          <w:tcPr>
            <w:tcW w:type="dxa" w:w="520"/>
            <w:vAlign w:val="center"/>
            <w:tcMar>
              <w:top w:w="80" w:type="dxa"/>
              <w:start w:w="120" w:type="dxa"/>
              <w:bottom w:w="80" w:type="dxa"/>
              <w:end w:w="120" w:type="dxa"/>
            </w:tcMar>
          </w:tcPr>
          <w:p>
            <w:pPr>
              <w:spacing w:after="0"/>
              <w:jc w:val="center"/>
            </w:pPr>
            <w:r>
              <w:rPr>
                <w:rFonts w:ascii="Calibri" w:hAnsi="Calibri"/>
                <w:color w:val="20384A"/>
                <w:sz w:val="18"/>
              </w:rPr>
              <w:t>1</w:t>
            </w:r>
          </w:p>
        </w:tc>
        <w:tc>
          <w:tcPr>
            <w:tcW w:type="dxa" w:w="3040"/>
            <w:vAlign w:val="center"/>
            <w:tcMar>
              <w:top w:w="80" w:type="dxa"/>
              <w:start w:w="120" w:type="dxa"/>
              <w:bottom w:w="80" w:type="dxa"/>
              <w:end w:w="120" w:type="dxa"/>
            </w:tcMar>
          </w:tcPr>
          <w:p>
            <w:pPr>
              <w:spacing w:after="0"/>
              <w:jc w:val="left"/>
            </w:pPr>
            <w:r>
              <w:rPr>
                <w:rFonts w:ascii="Calibri" w:hAnsi="Calibri"/>
                <w:color w:val="20384A"/>
                <w:sz w:val="18"/>
              </w:rPr>
              <w:t>Independent Retail Accounts</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$353.1M</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$79.1M</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22.39%</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48.75%</w:t>
            </w:r>
          </w:p>
        </w:tc>
      </w:tr>
      <w:tr>
        <w:tc>
          <w:tcPr>
            <w:tcW w:type="dxa" w:w="520"/>
            <w:vAlign w:val="center"/>
            <w:tcMar>
              <w:top w:w="80" w:type="dxa"/>
              <w:start w:w="120" w:type="dxa"/>
              <w:bottom w:w="80" w:type="dxa"/>
              <w:end w:w="120" w:type="dxa"/>
            </w:tcMar>
          </w:tcPr>
          <w:p>
            <w:pPr>
              <w:spacing w:after="0"/>
              <w:jc w:val="center"/>
            </w:pPr>
            <w:r>
              <w:rPr>
                <w:rFonts w:ascii="Calibri" w:hAnsi="Calibri"/>
                <w:color w:val="20384A"/>
                <w:sz w:val="18"/>
              </w:rPr>
              <w:t>2</w:t>
            </w:r>
          </w:p>
        </w:tc>
        <w:tc>
          <w:tcPr>
            <w:tcW w:type="dxa" w:w="3040"/>
            <w:vAlign w:val="center"/>
            <w:tcMar>
              <w:top w:w="80" w:type="dxa"/>
              <w:start w:w="120" w:type="dxa"/>
              <w:bottom w:w="80" w:type="dxa"/>
              <w:end w:w="120" w:type="dxa"/>
            </w:tcMar>
          </w:tcPr>
          <w:p>
            <w:pPr>
              <w:spacing w:after="0"/>
              <w:jc w:val="left"/>
            </w:pPr>
            <w:r>
              <w:rPr>
                <w:rFonts w:ascii="Calibri" w:hAnsi="Calibri"/>
                <w:color w:val="20384A"/>
                <w:sz w:val="18"/>
              </w:rPr>
              <w:t>Wholesale Trade Accounts</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$102.3M</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$19.4M</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18.94%</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14.12%</w:t>
            </w:r>
          </w:p>
        </w:tc>
      </w:tr>
      <w:tr>
        <w:tc>
          <w:tcPr>
            <w:tcW w:type="dxa" w:w="520"/>
            <w:vAlign w:val="center"/>
            <w:tcMar>
              <w:top w:w="80" w:type="dxa"/>
              <w:start w:w="120" w:type="dxa"/>
              <w:bottom w:w="80" w:type="dxa"/>
              <w:end w:w="120" w:type="dxa"/>
            </w:tcMar>
          </w:tcPr>
          <w:p>
            <w:pPr>
              <w:spacing w:after="0"/>
              <w:jc w:val="center"/>
            </w:pPr>
            <w:r>
              <w:rPr>
                <w:rFonts w:ascii="Calibri" w:hAnsi="Calibri"/>
                <w:color w:val="20384A"/>
                <w:sz w:val="18"/>
              </w:rPr>
              <w:t>3</w:t>
            </w:r>
          </w:p>
        </w:tc>
        <w:tc>
          <w:tcPr>
            <w:tcW w:type="dxa" w:w="3040"/>
            <w:vAlign w:val="center"/>
            <w:tcMar>
              <w:top w:w="80" w:type="dxa"/>
              <w:start w:w="120" w:type="dxa"/>
              <w:bottom w:w="80" w:type="dxa"/>
              <w:end w:w="120" w:type="dxa"/>
            </w:tcMar>
          </w:tcPr>
          <w:p>
            <w:pPr>
              <w:spacing w:after="0"/>
              <w:jc w:val="left"/>
            </w:pPr>
            <w:r>
              <w:rPr>
                <w:rFonts w:ascii="Calibri" w:hAnsi="Calibri"/>
                <w:color w:val="20384A"/>
                <w:sz w:val="18"/>
              </w:rPr>
              <w:t>Commercial Service Accounts</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$43.1M</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$9.4M</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21.85%</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5.95%</w:t>
            </w:r>
          </w:p>
        </w:tc>
      </w:tr>
      <w:tr>
        <w:tc>
          <w:tcPr>
            <w:tcW w:type="dxa" w:w="520"/>
            <w:vAlign w:val="center"/>
            <w:tcMar>
              <w:top w:w="80" w:type="dxa"/>
              <w:start w:w="120" w:type="dxa"/>
              <w:bottom w:w="80" w:type="dxa"/>
              <w:end w:w="120" w:type="dxa"/>
            </w:tcMar>
          </w:tcPr>
          <w:p>
            <w:pPr>
              <w:spacing w:after="0"/>
              <w:jc w:val="center"/>
            </w:pPr>
            <w:r>
              <w:rPr>
                <w:rFonts w:ascii="Calibri" w:hAnsi="Calibri"/>
                <w:color w:val="20384A"/>
                <w:sz w:val="18"/>
              </w:rPr>
              <w:t>4</w:t>
            </w:r>
          </w:p>
        </w:tc>
        <w:tc>
          <w:tcPr>
            <w:tcW w:type="dxa" w:w="3040"/>
            <w:vAlign w:val="center"/>
            <w:tcMar>
              <w:top w:w="80" w:type="dxa"/>
              <w:start w:w="120" w:type="dxa"/>
              <w:bottom w:w="80" w:type="dxa"/>
              <w:end w:w="120" w:type="dxa"/>
            </w:tcMar>
          </w:tcPr>
          <w:p>
            <w:pPr>
              <w:spacing w:after="0"/>
              <w:jc w:val="left"/>
            </w:pPr>
            <w:r>
              <w:rPr>
                <w:rFonts w:ascii="Calibri" w:hAnsi="Calibri"/>
                <w:color w:val="20384A"/>
                <w:sz w:val="18"/>
              </w:rPr>
              <w:t>Regional Retail Chain - Tier 2</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$30.0M</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$6.0M</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19.98%</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4.14%</w:t>
            </w:r>
          </w:p>
        </w:tc>
      </w:tr>
      <w:tr>
        <w:tc>
          <w:tcPr>
            <w:tcW w:type="dxa" w:w="520"/>
            <w:vAlign w:val="center"/>
            <w:tcMar>
              <w:top w:w="80" w:type="dxa"/>
              <w:start w:w="120" w:type="dxa"/>
              <w:bottom w:w="80" w:type="dxa"/>
              <w:end w:w="120" w:type="dxa"/>
            </w:tcMar>
          </w:tcPr>
          <w:p>
            <w:pPr>
              <w:spacing w:after="0"/>
              <w:jc w:val="center"/>
            </w:pPr>
            <w:r>
              <w:rPr>
                <w:rFonts w:ascii="Calibri" w:hAnsi="Calibri"/>
                <w:color w:val="20384A"/>
                <w:sz w:val="18"/>
              </w:rPr>
              <w:t>5</w:t>
            </w:r>
          </w:p>
        </w:tc>
        <w:tc>
          <w:tcPr>
            <w:tcW w:type="dxa" w:w="3040"/>
            <w:vAlign w:val="center"/>
            <w:tcMar>
              <w:top w:w="80" w:type="dxa"/>
              <w:start w:w="120" w:type="dxa"/>
              <w:bottom w:w="80" w:type="dxa"/>
              <w:end w:w="120" w:type="dxa"/>
            </w:tcMar>
          </w:tcPr>
          <w:p>
            <w:pPr>
              <w:spacing w:after="0"/>
              <w:jc w:val="left"/>
            </w:pPr>
            <w:r>
              <w:rPr>
                <w:rFonts w:ascii="Calibri" w:hAnsi="Calibri"/>
                <w:color w:val="20384A"/>
                <w:sz w:val="18"/>
              </w:rPr>
              <w:t>National Retail Chains</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$21.4M</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$4.6M</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21.44%</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2.95%</w:t>
            </w:r>
          </w:p>
        </w:tc>
      </w:tr>
      <w:tr>
        <w:tc>
          <w:tcPr>
            <w:tcW w:type="dxa" w:w="520"/>
            <w:vAlign w:val="center"/>
            <w:tcMar>
              <w:top w:w="80" w:type="dxa"/>
              <w:start w:w="120" w:type="dxa"/>
              <w:bottom w:w="80" w:type="dxa"/>
              <w:end w:w="120" w:type="dxa"/>
            </w:tcMar>
          </w:tcPr>
          <w:p>
            <w:pPr>
              <w:spacing w:after="0"/>
              <w:jc w:val="center"/>
            </w:pPr>
            <w:r>
              <w:rPr>
                <w:rFonts w:ascii="Calibri" w:hAnsi="Calibri"/>
                <w:color w:val="20384A"/>
                <w:sz w:val="18"/>
              </w:rPr>
              <w:t>6</w:t>
            </w:r>
          </w:p>
        </w:tc>
        <w:tc>
          <w:tcPr>
            <w:tcW w:type="dxa" w:w="3040"/>
            <w:vAlign w:val="center"/>
            <w:tcMar>
              <w:top w:w="80" w:type="dxa"/>
              <w:start w:w="120" w:type="dxa"/>
              <w:bottom w:w="80" w:type="dxa"/>
              <w:end w:w="120" w:type="dxa"/>
            </w:tcMar>
          </w:tcPr>
          <w:p>
            <w:pPr>
              <w:spacing w:after="0"/>
              <w:jc w:val="left"/>
            </w:pPr>
            <w:r>
              <w:rPr>
                <w:rFonts w:ascii="Calibri" w:hAnsi="Calibri"/>
                <w:color w:val="20384A"/>
                <w:sz w:val="18"/>
              </w:rPr>
              <w:t>Retail Cooperative Network</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$15.9M</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$3.8M</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23.91%</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2.20%</w:t>
            </w:r>
          </w:p>
        </w:tc>
      </w:tr>
      <w:tr>
        <w:tc>
          <w:tcPr>
            <w:tcW w:type="dxa" w:w="520"/>
            <w:vAlign w:val="center"/>
            <w:tcMar>
              <w:top w:w="80" w:type="dxa"/>
              <w:start w:w="120" w:type="dxa"/>
              <w:bottom w:w="80" w:type="dxa"/>
              <w:end w:w="120" w:type="dxa"/>
            </w:tcMar>
          </w:tcPr>
          <w:p>
            <w:pPr>
              <w:spacing w:after="0"/>
              <w:jc w:val="center"/>
            </w:pPr>
            <w:r>
              <w:rPr>
                <w:rFonts w:ascii="Calibri" w:hAnsi="Calibri"/>
                <w:color w:val="20384A"/>
                <w:sz w:val="18"/>
              </w:rPr>
              <w:t>7</w:t>
            </w:r>
          </w:p>
        </w:tc>
        <w:tc>
          <w:tcPr>
            <w:tcW w:type="dxa" w:w="3040"/>
            <w:vAlign w:val="center"/>
            <w:tcMar>
              <w:top w:w="80" w:type="dxa"/>
              <w:start w:w="120" w:type="dxa"/>
              <w:bottom w:w="80" w:type="dxa"/>
              <w:end w:w="120" w:type="dxa"/>
            </w:tcMar>
          </w:tcPr>
          <w:p>
            <w:pPr>
              <w:spacing w:after="0"/>
              <w:jc w:val="left"/>
            </w:pPr>
            <w:r>
              <w:rPr>
                <w:rFonts w:ascii="Calibri" w:hAnsi="Calibri"/>
                <w:color w:val="20384A"/>
                <w:sz w:val="18"/>
              </w:rPr>
              <w:t>Suburban Retail Chain</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$15.7M</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$3.5M</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22.51%</w:t>
            </w:r>
          </w:p>
        </w:tc>
        <w:tc>
          <w:tcPr>
            <w:tcW w:type="dxa" w:w="1450"/>
            <w:vAlign w:val="center"/>
            <w:tcMar>
              <w:top w:w="80" w:type="dxa"/>
              <w:start w:w="120" w:type="dxa"/>
              <w:bottom w:w="80" w:type="dxa"/>
              <w:end w:w="120" w:type="dxa"/>
            </w:tcMar>
          </w:tcPr>
          <w:p>
            <w:pPr>
              <w:spacing w:after="0"/>
              <w:jc w:val="right"/>
            </w:pPr>
            <w:r>
              <w:rPr>
                <w:rFonts w:ascii="Calibri" w:hAnsi="Calibri"/>
                <w:color w:val="20384A"/>
                <w:sz w:val="18"/>
              </w:rPr>
              <w:t>2.17%</w:t>
            </w:r>
          </w:p>
        </w:tc>
      </w:tr>
    </w:tbl>
    <w:p>
      <w:pPr>
        <w:keepLines/>
      </w:pPr>
      <w:r>
        <w:rPr>
          <w:rFonts w:ascii="Calibri" w:hAnsi="Calibri"/>
          <w:color w:val="20384A"/>
          <w:sz w:val="22"/>
        </w:rPr>
        <w:t>Independent Retail produced 48.75% of revenue and 51.37% of gross profit at a 22.39% margin. It also generated 43.04% of company revenue growth from 2018 to 2024. Wholesale Trade is more margin-light: 14.12% of revenue but 12.59% of gross profit at an 18.94% margin. Retail Cooperative Network is a credible expansion candidate because its 2024 revenue was 111.18% above 2018 while margin improved to 25.40%.</w:t>
      </w:r>
    </w:p>
    <w:p>
      <w:r>
        <w:br w:type="page"/>
      </w:r>
    </w:p>
    <w:p>
      <w:pPr>
        <w:pStyle w:val="Heading1"/>
        <w:keepNext/>
      </w:pPr>
      <w:r>
        <w:t>3. Revenue Concentration Risk</w:t>
      </w:r>
    </w:p>
    <w:p>
      <w:pPr>
        <w:spacing w:before="80" w:after="160"/>
        <w:ind w:left="173" w:right="173"/>
        <w:shd w:fill="D9EAF7"/>
        <w:pBdr>
          <w:left w:val="single" w:sz="18" w:space="8" w:color="2E74B5"/>
        </w:pBdr>
      </w:pPr>
      <w:r>
        <w:rPr>
          <w:rFonts w:ascii="Calibri" w:hAnsi="Calibri"/>
          <w:b/>
          <w:color w:val="17365D"/>
          <w:sz w:val="22"/>
        </w:rPr>
        <w:t>Single-customer dependency is low; segment dependency is materially higher.</w:t>
      </w:r>
    </w:p>
    <w:p>
      <w:pPr>
        <w:keepNext/>
        <w:spacing w:before="40" w:after="40"/>
        <w:jc w:val="center"/>
      </w:pPr>
      <w:r>
        <w:drawing>
          <wp:inline xmlns:a="http://schemas.openxmlformats.org/drawingml/2006/main" xmlns:pic="http://schemas.openxmlformats.org/drawingml/2006/picture">
            <wp:extent cx="5897880" cy="3428143"/>
            <wp:docPr id="3" name="Picture 3" descr="Cumulative revenue curve shows the share of recognized revenue produced by the ranked customer portfolio, with markers at 50, 80, and 90 percent." title="Cumulative revenue curve shows the share of recognized revenue produced by the ranked customer portfolio, with markers at 50, 80, and 90 percent."/>
            <wp:cNvGraphicFramePr>
              <a:graphicFrameLocks noChangeAspect="1"/>
            </wp:cNvGraphicFramePr>
            <a:graphic>
              <a:graphicData uri="http://schemas.openxmlformats.org/drawingml/2006/picture">
                <pic:pic>
                  <pic:nvPicPr>
                    <pic:cNvPr id="0" name="03_customer_concentration.png"/>
                    <pic:cNvPicPr/>
                  </pic:nvPicPr>
                  <pic:blipFill>
                    <a:blip r:embed="rId13"/>
                    <a:stretch>
                      <a:fillRect/>
                    </a:stretch>
                  </pic:blipFill>
                  <pic:spPr>
                    <a:xfrm>
                      <a:off x="0" y="0"/>
                      <a:ext cx="5897880" cy="3428143"/>
                    </a:xfrm>
                    <a:prstGeom prst="rect"/>
                  </pic:spPr>
                </pic:pic>
              </a:graphicData>
            </a:graphic>
          </wp:inline>
        </w:drawing>
      </w:r>
    </w:p>
    <w:p>
      <w:pPr>
        <w:pStyle w:val="Caption"/>
        <w:spacing w:before="40" w:after="160"/>
        <w:jc w:val="center"/>
      </w:pPr>
      <w:r>
        <w:rPr>
          <w:rFonts w:ascii="Calibri" w:hAnsi="Calibri"/>
          <w:i/>
          <w:color w:val="607184"/>
          <w:sz w:val="18"/>
        </w:rPr>
        <w:t>Figure 3. Customer-level cumulative revenue concentration.</w:t>
      </w:r>
    </w:p>
    <w:tbl>
      <w:tblPr>
        <w:tblW w:type="dxa" w:w="9360"/>
        <w:tblLayout w:type="fixed"/>
        <w:tblLook w:firstColumn="1" w:firstRow="1" w:lastColumn="0" w:lastRow="0" w:noHBand="0" w:noVBand="1" w:val="04A0"/>
        <w:jc w:val="left"/>
        <w:tblInd w:w="120" w:type="dxa"/>
        <w:tblBorders>
          <w:top w:val="single" w:sz="4" w:color="D9E0E7"/>
          <w:left w:val="single" w:sz="4" w:color="D9E0E7"/>
          <w:bottom w:val="single" w:sz="4" w:color="D9E0E7"/>
          <w:right w:val="single" w:sz="4" w:color="D9E0E7"/>
          <w:insideH w:val="single" w:sz="4" w:color="D9E0E7"/>
          <w:insideV w:val="single" w:sz="4" w:color="D9E0E7"/>
        </w:tblBorders>
      </w:tblPr>
      <w:tblGrid>
        <w:gridCol w:w="4160"/>
        <w:gridCol w:w="2600"/>
        <w:gridCol w:w="2600"/>
      </w:tblGrid>
      <w:tr>
        <w:trPr>
          <w:tblHeader w:val="true"/>
        </w:trPr>
        <w:tc>
          <w:tcPr>
            <w:tcW w:type="dxa" w:w="4160"/>
            <w:tcMar>
              <w:top w:w="80" w:type="dxa"/>
              <w:start w:w="120" w:type="dxa"/>
              <w:bottom w:w="80" w:type="dxa"/>
              <w:end w:w="120" w:type="dxa"/>
            </w:tcMar>
            <w:shd w:fill="F2F4F7"/>
            <w:vAlign w:val="center"/>
          </w:tcPr>
          <w:p>
            <w:pPr>
              <w:spacing w:after="0"/>
            </w:pPr>
            <w:r>
              <w:rPr>
                <w:rFonts w:ascii="Calibri" w:hAnsi="Calibri"/>
                <w:b/>
                <w:color w:val="17365D"/>
                <w:sz w:val="18"/>
              </w:rPr>
              <w:t>Concentration measure</w:t>
            </w:r>
          </w:p>
        </w:tc>
        <w:tc>
          <w:tcPr>
            <w:tcW w:type="dxa" w:w="2600"/>
            <w:tcMar>
              <w:top w:w="80" w:type="dxa"/>
              <w:start w:w="120" w:type="dxa"/>
              <w:bottom w:w="80" w:type="dxa"/>
              <w:end w:w="120" w:type="dxa"/>
            </w:tcMar>
            <w:shd w:fill="F2F4F7"/>
            <w:vAlign w:val="center"/>
          </w:tcPr>
          <w:p>
            <w:pPr>
              <w:spacing w:after="0"/>
            </w:pPr>
            <w:r>
              <w:rPr>
                <w:rFonts w:ascii="Calibri" w:hAnsi="Calibri"/>
                <w:b/>
                <w:color w:val="17365D"/>
                <w:sz w:val="18"/>
              </w:rPr>
              <w:t>Customer level</w:t>
            </w:r>
          </w:p>
        </w:tc>
        <w:tc>
          <w:tcPr>
            <w:tcW w:type="dxa" w:w="2600"/>
            <w:tcMar>
              <w:top w:w="80" w:type="dxa"/>
              <w:start w:w="120" w:type="dxa"/>
              <w:bottom w:w="80" w:type="dxa"/>
              <w:end w:w="120" w:type="dxa"/>
            </w:tcMar>
            <w:shd w:fill="F2F4F7"/>
            <w:vAlign w:val="center"/>
          </w:tcPr>
          <w:p>
            <w:pPr>
              <w:spacing w:after="0"/>
            </w:pPr>
            <w:r>
              <w:rPr>
                <w:rFonts w:ascii="Calibri" w:hAnsi="Calibri"/>
                <w:b/>
                <w:color w:val="17365D"/>
                <w:sz w:val="18"/>
              </w:rPr>
              <w:t>Segment level</w:t>
            </w:r>
          </w:p>
        </w:tc>
      </w:tr>
      <w:tr>
        <w:tc>
          <w:tcPr>
            <w:tcW w:type="dxa" w:w="4160"/>
            <w:vAlign w:val="center"/>
            <w:tcMar>
              <w:top w:w="80" w:type="dxa"/>
              <w:start w:w="120" w:type="dxa"/>
              <w:bottom w:w="80" w:type="dxa"/>
              <w:end w:w="120" w:type="dxa"/>
            </w:tcMar>
          </w:tcPr>
          <w:p>
            <w:pPr>
              <w:spacing w:after="0"/>
              <w:jc w:val="left"/>
            </w:pPr>
            <w:r>
              <w:rPr>
                <w:rFonts w:ascii="Calibri" w:hAnsi="Calibri"/>
                <w:color w:val="20384A"/>
                <w:sz w:val="18"/>
              </w:rPr>
              <w:t>Largest entity share</w:t>
            </w:r>
          </w:p>
        </w:tc>
        <w:tc>
          <w:tcPr>
            <w:tcW w:type="dxa" w:w="2600"/>
            <w:vAlign w:val="center"/>
            <w:tcMar>
              <w:top w:w="80" w:type="dxa"/>
              <w:start w:w="120" w:type="dxa"/>
              <w:bottom w:w="80" w:type="dxa"/>
              <w:end w:w="120" w:type="dxa"/>
            </w:tcMar>
          </w:tcPr>
          <w:p>
            <w:pPr>
              <w:spacing w:after="0"/>
              <w:jc w:val="right"/>
            </w:pPr>
            <w:r>
              <w:rPr>
                <w:rFonts w:ascii="Calibri" w:hAnsi="Calibri"/>
                <w:color w:val="20384A"/>
                <w:sz w:val="18"/>
              </w:rPr>
              <w:t>1.13%</w:t>
            </w:r>
          </w:p>
        </w:tc>
        <w:tc>
          <w:tcPr>
            <w:tcW w:type="dxa" w:w="2600"/>
            <w:vAlign w:val="center"/>
            <w:tcMar>
              <w:top w:w="80" w:type="dxa"/>
              <w:start w:w="120" w:type="dxa"/>
              <w:bottom w:w="80" w:type="dxa"/>
              <w:end w:w="120" w:type="dxa"/>
            </w:tcMar>
          </w:tcPr>
          <w:p>
            <w:pPr>
              <w:spacing w:after="0"/>
              <w:jc w:val="right"/>
            </w:pPr>
            <w:r>
              <w:rPr>
                <w:rFonts w:ascii="Calibri" w:hAnsi="Calibri"/>
                <w:color w:val="20384A"/>
                <w:sz w:val="18"/>
              </w:rPr>
              <w:t>48.75%</w:t>
            </w:r>
          </w:p>
        </w:tc>
      </w:tr>
      <w:tr>
        <w:tc>
          <w:tcPr>
            <w:tcW w:type="dxa" w:w="4160"/>
            <w:vAlign w:val="center"/>
            <w:tcMar>
              <w:top w:w="80" w:type="dxa"/>
              <w:start w:w="120" w:type="dxa"/>
              <w:bottom w:w="80" w:type="dxa"/>
              <w:end w:w="120" w:type="dxa"/>
            </w:tcMar>
          </w:tcPr>
          <w:p>
            <w:pPr>
              <w:spacing w:after="0"/>
              <w:jc w:val="left"/>
            </w:pPr>
            <w:r>
              <w:rPr>
                <w:rFonts w:ascii="Calibri" w:hAnsi="Calibri"/>
                <w:color w:val="20384A"/>
                <w:sz w:val="18"/>
              </w:rPr>
              <w:t>Top 3 share</w:t>
            </w:r>
          </w:p>
        </w:tc>
        <w:tc>
          <w:tcPr>
            <w:tcW w:type="dxa" w:w="2600"/>
            <w:vAlign w:val="center"/>
            <w:tcMar>
              <w:top w:w="80" w:type="dxa"/>
              <w:start w:w="120" w:type="dxa"/>
              <w:bottom w:w="80" w:type="dxa"/>
              <w:end w:w="120" w:type="dxa"/>
            </w:tcMar>
          </w:tcPr>
          <w:p>
            <w:pPr>
              <w:spacing w:after="0"/>
              <w:jc w:val="right"/>
            </w:pPr>
            <w:r>
              <w:rPr>
                <w:rFonts w:ascii="Calibri" w:hAnsi="Calibri"/>
                <w:color w:val="20384A"/>
                <w:sz w:val="18"/>
              </w:rPr>
              <w:t>2.97%</w:t>
            </w:r>
          </w:p>
        </w:tc>
        <w:tc>
          <w:tcPr>
            <w:tcW w:type="dxa" w:w="2600"/>
            <w:vAlign w:val="center"/>
            <w:tcMar>
              <w:top w:w="80" w:type="dxa"/>
              <w:start w:w="120" w:type="dxa"/>
              <w:bottom w:w="80" w:type="dxa"/>
              <w:end w:w="120" w:type="dxa"/>
            </w:tcMar>
          </w:tcPr>
          <w:p>
            <w:pPr>
              <w:spacing w:after="0"/>
              <w:jc w:val="right"/>
            </w:pPr>
            <w:r>
              <w:rPr>
                <w:rFonts w:ascii="Calibri" w:hAnsi="Calibri"/>
                <w:color w:val="20384A"/>
                <w:sz w:val="18"/>
              </w:rPr>
              <w:t>68.82%</w:t>
            </w:r>
          </w:p>
        </w:tc>
      </w:tr>
      <w:tr>
        <w:tc>
          <w:tcPr>
            <w:tcW w:type="dxa" w:w="4160"/>
            <w:vAlign w:val="center"/>
            <w:tcMar>
              <w:top w:w="80" w:type="dxa"/>
              <w:start w:w="120" w:type="dxa"/>
              <w:bottom w:w="80" w:type="dxa"/>
              <w:end w:w="120" w:type="dxa"/>
            </w:tcMar>
          </w:tcPr>
          <w:p>
            <w:pPr>
              <w:spacing w:after="0"/>
              <w:jc w:val="left"/>
            </w:pPr>
            <w:r>
              <w:rPr>
                <w:rFonts w:ascii="Calibri" w:hAnsi="Calibri"/>
                <w:color w:val="20384A"/>
                <w:sz w:val="18"/>
              </w:rPr>
              <w:t>Top 5 share</w:t>
            </w:r>
          </w:p>
        </w:tc>
        <w:tc>
          <w:tcPr>
            <w:tcW w:type="dxa" w:w="2600"/>
            <w:vAlign w:val="center"/>
            <w:tcMar>
              <w:top w:w="80" w:type="dxa"/>
              <w:start w:w="120" w:type="dxa"/>
              <w:bottom w:w="80" w:type="dxa"/>
              <w:end w:w="120" w:type="dxa"/>
            </w:tcMar>
          </w:tcPr>
          <w:p>
            <w:pPr>
              <w:spacing w:after="0"/>
              <w:jc w:val="right"/>
            </w:pPr>
            <w:r>
              <w:rPr>
                <w:rFonts w:ascii="Calibri" w:hAnsi="Calibri"/>
                <w:color w:val="20384A"/>
                <w:sz w:val="18"/>
              </w:rPr>
              <w:t>4.31%</w:t>
            </w:r>
          </w:p>
        </w:tc>
        <w:tc>
          <w:tcPr>
            <w:tcW w:type="dxa" w:w="2600"/>
            <w:vAlign w:val="center"/>
            <w:tcMar>
              <w:top w:w="80" w:type="dxa"/>
              <w:start w:w="120" w:type="dxa"/>
              <w:bottom w:w="80" w:type="dxa"/>
              <w:end w:w="120" w:type="dxa"/>
            </w:tcMar>
          </w:tcPr>
          <w:p>
            <w:pPr>
              <w:spacing w:after="0"/>
              <w:jc w:val="right"/>
            </w:pPr>
            <w:r>
              <w:rPr>
                <w:rFonts w:ascii="Calibri" w:hAnsi="Calibri"/>
                <w:color w:val="20384A"/>
                <w:sz w:val="18"/>
              </w:rPr>
              <w:t>75.91%</w:t>
            </w:r>
          </w:p>
        </w:tc>
      </w:tr>
      <w:tr>
        <w:tc>
          <w:tcPr>
            <w:tcW w:type="dxa" w:w="4160"/>
            <w:vAlign w:val="center"/>
            <w:tcMar>
              <w:top w:w="80" w:type="dxa"/>
              <w:start w:w="120" w:type="dxa"/>
              <w:bottom w:w="80" w:type="dxa"/>
              <w:end w:w="120" w:type="dxa"/>
            </w:tcMar>
          </w:tcPr>
          <w:p>
            <w:pPr>
              <w:spacing w:after="0"/>
              <w:jc w:val="left"/>
            </w:pPr>
            <w:r>
              <w:rPr>
                <w:rFonts w:ascii="Calibri" w:hAnsi="Calibri"/>
                <w:color w:val="20384A"/>
                <w:sz w:val="18"/>
              </w:rPr>
              <w:t>Entities needed for 80%</w:t>
            </w:r>
          </w:p>
        </w:tc>
        <w:tc>
          <w:tcPr>
            <w:tcW w:type="dxa" w:w="2600"/>
            <w:vAlign w:val="center"/>
            <w:tcMar>
              <w:top w:w="80" w:type="dxa"/>
              <w:start w:w="120" w:type="dxa"/>
              <w:bottom w:w="80" w:type="dxa"/>
              <w:end w:w="120" w:type="dxa"/>
            </w:tcMar>
          </w:tcPr>
          <w:p>
            <w:pPr>
              <w:spacing w:after="0"/>
              <w:jc w:val="right"/>
            </w:pPr>
            <w:r>
              <w:rPr>
                <w:rFonts w:ascii="Calibri" w:hAnsi="Calibri"/>
                <w:color w:val="20384A"/>
                <w:sz w:val="18"/>
              </w:rPr>
              <w:t>599</w:t>
            </w:r>
          </w:p>
        </w:tc>
        <w:tc>
          <w:tcPr>
            <w:tcW w:type="dxa" w:w="2600"/>
            <w:vAlign w:val="center"/>
            <w:tcMar>
              <w:top w:w="80" w:type="dxa"/>
              <w:start w:w="120" w:type="dxa"/>
              <w:bottom w:w="80" w:type="dxa"/>
              <w:end w:w="120" w:type="dxa"/>
            </w:tcMar>
          </w:tcPr>
          <w:p>
            <w:pPr>
              <w:spacing w:after="0"/>
              <w:jc w:val="right"/>
            </w:pPr>
            <w:r>
              <w:rPr>
                <w:rFonts w:ascii="Calibri" w:hAnsi="Calibri"/>
                <w:color w:val="20384A"/>
                <w:sz w:val="18"/>
              </w:rPr>
              <w:t>7</w:t>
            </w:r>
          </w:p>
        </w:tc>
      </w:tr>
      <w:tr>
        <w:tc>
          <w:tcPr>
            <w:tcW w:type="dxa" w:w="4160"/>
            <w:vAlign w:val="center"/>
            <w:tcMar>
              <w:top w:w="80" w:type="dxa"/>
              <w:start w:w="120" w:type="dxa"/>
              <w:bottom w:w="80" w:type="dxa"/>
              <w:end w:w="120" w:type="dxa"/>
            </w:tcMar>
          </w:tcPr>
          <w:p>
            <w:pPr>
              <w:spacing w:after="0"/>
              <w:jc w:val="left"/>
            </w:pPr>
            <w:r>
              <w:rPr>
                <w:rFonts w:ascii="Calibri" w:hAnsi="Calibri"/>
                <w:color w:val="20384A"/>
                <w:sz w:val="18"/>
              </w:rPr>
              <w:t>HHI</w:t>
            </w:r>
          </w:p>
        </w:tc>
        <w:tc>
          <w:tcPr>
            <w:tcW w:type="dxa" w:w="2600"/>
            <w:vAlign w:val="center"/>
            <w:tcMar>
              <w:top w:w="80" w:type="dxa"/>
              <w:start w:w="120" w:type="dxa"/>
              <w:bottom w:w="80" w:type="dxa"/>
              <w:end w:w="120" w:type="dxa"/>
            </w:tcMar>
          </w:tcPr>
          <w:p>
            <w:pPr>
              <w:spacing w:after="0"/>
              <w:jc w:val="right"/>
            </w:pPr>
            <w:r>
              <w:rPr>
                <w:rFonts w:ascii="Calibri" w:hAnsi="Calibri"/>
                <w:color w:val="20384A"/>
                <w:sz w:val="18"/>
              </w:rPr>
              <w:t>19.36</w:t>
            </w:r>
          </w:p>
        </w:tc>
        <w:tc>
          <w:tcPr>
            <w:tcW w:type="dxa" w:w="2600"/>
            <w:vAlign w:val="center"/>
            <w:tcMar>
              <w:top w:w="80" w:type="dxa"/>
              <w:start w:w="120" w:type="dxa"/>
              <w:bottom w:w="80" w:type="dxa"/>
              <w:end w:w="120" w:type="dxa"/>
            </w:tcMar>
          </w:tcPr>
          <w:p>
            <w:pPr>
              <w:spacing w:after="0"/>
              <w:jc w:val="right"/>
            </w:pPr>
            <w:r>
              <w:rPr>
                <w:rFonts w:ascii="Calibri" w:hAnsi="Calibri"/>
                <w:color w:val="20384A"/>
                <w:sz w:val="18"/>
              </w:rPr>
              <w:t>2,662.59</w:t>
            </w:r>
          </w:p>
        </w:tc>
      </w:tr>
    </w:tbl>
    <w:p>
      <w:pPr>
        <w:keepLines/>
      </w:pPr>
      <w:r>
        <w:rPr>
          <w:rFonts w:ascii="Calibri" w:hAnsi="Calibri"/>
          <w:color w:val="20384A"/>
          <w:sz w:val="22"/>
        </w:rPr>
        <w:t>The largest customer contributes only 1.13% of revenue, the top 10 contribute 7.09%, and the top 100 contribute 33.41%. It takes 599 customers, or 18.54% of the portfolio, to reach 80% of revenue. Leadership should therefore monitor correlated segment risks—pricing pressure, channel disruption, competitive shifts, or service failures—more closely than the loss of any single account.</w:t>
      </w:r>
    </w:p>
    <w:p>
      <w:r>
        <w:br w:type="page"/>
      </w:r>
    </w:p>
    <w:p>
      <w:pPr>
        <w:pStyle w:val="Heading1"/>
        <w:keepNext/>
      </w:pPr>
      <w:r>
        <w:t>4. Customer Lifecycle and Retention Risk</w:t>
      </w:r>
    </w:p>
    <w:p>
      <w:pPr>
        <w:spacing w:before="80" w:after="160"/>
        <w:ind w:left="173" w:right="173"/>
        <w:shd w:fill="D9EAF7"/>
        <w:pBdr>
          <w:left w:val="single" w:sz="18" w:space="8" w:color="2E74B5"/>
        </w:pBdr>
      </w:pPr>
      <w:r>
        <w:rPr>
          <w:rFonts w:ascii="Calibri" w:hAnsi="Calibri"/>
          <w:b/>
          <w:color w:val="17365D"/>
          <w:sz w:val="22"/>
        </w:rPr>
        <w:t>The non-active portfolio carries a $23.0M trailing revenue baseline; 82.27% sits in dormant accounts.</w:t>
      </w:r>
    </w:p>
    <w:p>
      <w:pPr>
        <w:keepNext/>
        <w:spacing w:before="40" w:after="40"/>
        <w:jc w:val="center"/>
      </w:pPr>
      <w:r>
        <w:drawing>
          <wp:inline xmlns:a="http://schemas.openxmlformats.org/drawingml/2006/main" xmlns:pic="http://schemas.openxmlformats.org/drawingml/2006/picture">
            <wp:extent cx="5897880" cy="3022664"/>
            <wp:docPr id="4" name="Picture 4" descr="Stacked bars compare customer lifecycle counts with the distribution of trailing revenue baseline at risk across watch, at-risk, dormant, active, and no-positive-sales groups." title="Stacked bars compare customer lifecycle counts with the distribution of trailing revenue baseline at risk across watch, at-risk, dormant, active, and no-positive-sales groups."/>
            <wp:cNvGraphicFramePr>
              <a:graphicFrameLocks noChangeAspect="1"/>
            </wp:cNvGraphicFramePr>
            <a:graphic>
              <a:graphicData uri="http://schemas.openxmlformats.org/drawingml/2006/picture">
                <pic:pic>
                  <pic:nvPicPr>
                    <pic:cNvPr id="0" name="04_retention_risk.png"/>
                    <pic:cNvPicPr/>
                  </pic:nvPicPr>
                  <pic:blipFill>
                    <a:blip r:embed="rId14"/>
                    <a:stretch>
                      <a:fillRect/>
                    </a:stretch>
                  </pic:blipFill>
                  <pic:spPr>
                    <a:xfrm>
                      <a:off x="0" y="0"/>
                      <a:ext cx="5897880" cy="3022664"/>
                    </a:xfrm>
                    <a:prstGeom prst="rect"/>
                  </pic:spPr>
                </pic:pic>
              </a:graphicData>
            </a:graphic>
          </wp:inline>
        </w:drawing>
      </w:r>
    </w:p>
    <w:p>
      <w:pPr>
        <w:pStyle w:val="Caption"/>
        <w:spacing w:before="40" w:after="160"/>
        <w:jc w:val="center"/>
      </w:pPr>
      <w:r>
        <w:rPr>
          <w:rFonts w:ascii="Calibri" w:hAnsi="Calibri"/>
          <w:i/>
          <w:color w:val="607184"/>
          <w:sz w:val="18"/>
        </w:rPr>
        <w:t>Figure 4. Lifecycle mix and trailing revenue baseline at risk.</w:t>
      </w:r>
    </w:p>
    <w:tbl>
      <w:tblPr>
        <w:tblW w:type="dxa" w:w="9360"/>
        <w:tblLayout w:type="fixed"/>
        <w:tblLook w:firstColumn="1" w:firstRow="1" w:lastColumn="0" w:lastRow="0" w:noHBand="0" w:noVBand="1" w:val="04A0"/>
        <w:jc w:val="left"/>
        <w:tblInd w:w="120" w:type="dxa"/>
        <w:tblBorders>
          <w:top w:val="single" w:sz="4" w:color="D9E0E7"/>
          <w:left w:val="single" w:sz="4" w:color="D9E0E7"/>
          <w:bottom w:val="single" w:sz="4" w:color="D9E0E7"/>
          <w:right w:val="single" w:sz="4" w:color="D9E0E7"/>
          <w:insideH w:val="single" w:sz="4" w:color="D9E0E7"/>
          <w:insideV w:val="single" w:sz="4" w:color="D9E0E7"/>
        </w:tblBorders>
      </w:tblPr>
      <w:tblGrid>
        <w:gridCol w:w="3000"/>
        <w:gridCol w:w="1350"/>
        <w:gridCol w:w="1350"/>
        <w:gridCol w:w="1900"/>
        <w:gridCol w:w="1760"/>
      </w:tblGrid>
      <w:tr>
        <w:trPr>
          <w:tblHeader w:val="true"/>
        </w:trPr>
        <w:tc>
          <w:tcPr>
            <w:tcW w:type="dxa" w:w="3000"/>
            <w:tcMar>
              <w:top w:w="80" w:type="dxa"/>
              <w:start w:w="120" w:type="dxa"/>
              <w:bottom w:w="80" w:type="dxa"/>
              <w:end w:w="120" w:type="dxa"/>
            </w:tcMar>
            <w:shd w:fill="F2F4F7"/>
            <w:vAlign w:val="center"/>
          </w:tcPr>
          <w:p>
            <w:pPr>
              <w:spacing w:after="0"/>
            </w:pPr>
            <w:r>
              <w:rPr>
                <w:rFonts w:ascii="Calibri" w:hAnsi="Calibri"/>
                <w:b/>
                <w:color w:val="17365D"/>
                <w:sz w:val="18"/>
              </w:rPr>
              <w:t>Lifecycle status</w:t>
            </w:r>
          </w:p>
        </w:tc>
        <w:tc>
          <w:tcPr>
            <w:tcW w:type="dxa" w:w="1350"/>
            <w:tcMar>
              <w:top w:w="80" w:type="dxa"/>
              <w:start w:w="120" w:type="dxa"/>
              <w:bottom w:w="80" w:type="dxa"/>
              <w:end w:w="120" w:type="dxa"/>
            </w:tcMar>
            <w:shd w:fill="F2F4F7"/>
            <w:vAlign w:val="center"/>
          </w:tcPr>
          <w:p>
            <w:pPr>
              <w:spacing w:after="0"/>
            </w:pPr>
            <w:r>
              <w:rPr>
                <w:rFonts w:ascii="Calibri" w:hAnsi="Calibri"/>
                <w:b/>
                <w:color w:val="17365D"/>
                <w:sz w:val="18"/>
              </w:rPr>
              <w:t>Customers</w:t>
            </w:r>
          </w:p>
        </w:tc>
        <w:tc>
          <w:tcPr>
            <w:tcW w:type="dxa" w:w="1350"/>
            <w:tcMar>
              <w:top w:w="80" w:type="dxa"/>
              <w:start w:w="120" w:type="dxa"/>
              <w:bottom w:w="80" w:type="dxa"/>
              <w:end w:w="120" w:type="dxa"/>
            </w:tcMar>
            <w:shd w:fill="F2F4F7"/>
            <w:vAlign w:val="center"/>
          </w:tcPr>
          <w:p>
            <w:pPr>
              <w:spacing w:after="0"/>
            </w:pPr>
            <w:r>
              <w:rPr>
                <w:rFonts w:ascii="Calibri" w:hAnsi="Calibri"/>
                <w:b/>
                <w:color w:val="17365D"/>
                <w:sz w:val="18"/>
              </w:rPr>
              <w:t>Share</w:t>
            </w:r>
          </w:p>
        </w:tc>
        <w:tc>
          <w:tcPr>
            <w:tcW w:type="dxa" w:w="1900"/>
            <w:tcMar>
              <w:top w:w="80" w:type="dxa"/>
              <w:start w:w="120" w:type="dxa"/>
              <w:bottom w:w="80" w:type="dxa"/>
              <w:end w:w="120" w:type="dxa"/>
            </w:tcMar>
            <w:shd w:fill="F2F4F7"/>
            <w:vAlign w:val="center"/>
          </w:tcPr>
          <w:p>
            <w:pPr>
              <w:spacing w:after="0"/>
            </w:pPr>
            <w:r>
              <w:rPr>
                <w:rFonts w:ascii="Calibri" w:hAnsi="Calibri"/>
                <w:b/>
                <w:color w:val="17365D"/>
                <w:sz w:val="18"/>
              </w:rPr>
              <w:t>Revenue at risk</w:t>
            </w:r>
          </w:p>
        </w:tc>
        <w:tc>
          <w:tcPr>
            <w:tcW w:type="dxa" w:w="1760"/>
            <w:tcMar>
              <w:top w:w="80" w:type="dxa"/>
              <w:start w:w="120" w:type="dxa"/>
              <w:bottom w:w="80" w:type="dxa"/>
              <w:end w:w="120" w:type="dxa"/>
            </w:tcMar>
            <w:shd w:fill="F2F4F7"/>
            <w:vAlign w:val="center"/>
          </w:tcPr>
          <w:p>
            <w:pPr>
              <w:spacing w:after="0"/>
            </w:pPr>
            <w:r>
              <w:rPr>
                <w:rFonts w:ascii="Calibri" w:hAnsi="Calibri"/>
                <w:b/>
                <w:color w:val="17365D"/>
                <w:sz w:val="18"/>
              </w:rPr>
              <w:t>Risk share</w:t>
            </w:r>
          </w:p>
        </w:tc>
      </w:tr>
      <w:tr>
        <w:tc>
          <w:tcPr>
            <w:tcW w:type="dxa" w:w="3000"/>
            <w:vAlign w:val="center"/>
            <w:tcMar>
              <w:top w:w="80" w:type="dxa"/>
              <w:start w:w="120" w:type="dxa"/>
              <w:bottom w:w="80" w:type="dxa"/>
              <w:end w:w="120" w:type="dxa"/>
            </w:tcMar>
          </w:tcPr>
          <w:p>
            <w:pPr>
              <w:spacing w:after="0"/>
              <w:jc w:val="left"/>
            </w:pPr>
            <w:r>
              <w:rPr>
                <w:rFonts w:ascii="Calibri" w:hAnsi="Calibri"/>
                <w:color w:val="20384A"/>
                <w:sz w:val="18"/>
              </w:rPr>
              <w:t>Active (0-3 months)</w:t>
            </w:r>
          </w:p>
        </w:tc>
        <w:tc>
          <w:tcPr>
            <w:tcW w:type="dxa" w:w="1350"/>
            <w:vAlign w:val="center"/>
            <w:tcMar>
              <w:top w:w="80" w:type="dxa"/>
              <w:start w:w="120" w:type="dxa"/>
              <w:bottom w:w="80" w:type="dxa"/>
              <w:end w:w="120" w:type="dxa"/>
            </w:tcMar>
          </w:tcPr>
          <w:p>
            <w:pPr>
              <w:spacing w:after="0"/>
              <w:jc w:val="right"/>
            </w:pPr>
            <w:r>
              <w:rPr>
                <w:rFonts w:ascii="Calibri" w:hAnsi="Calibri"/>
                <w:color w:val="20384A"/>
                <w:sz w:val="18"/>
              </w:rPr>
              <w:t>1,678</w:t>
            </w:r>
          </w:p>
        </w:tc>
        <w:tc>
          <w:tcPr>
            <w:tcW w:type="dxa" w:w="1350"/>
            <w:vAlign w:val="center"/>
            <w:tcMar>
              <w:top w:w="80" w:type="dxa"/>
              <w:start w:w="120" w:type="dxa"/>
              <w:bottom w:w="80" w:type="dxa"/>
              <w:end w:w="120" w:type="dxa"/>
            </w:tcMar>
          </w:tcPr>
          <w:p>
            <w:pPr>
              <w:spacing w:after="0"/>
              <w:jc w:val="right"/>
            </w:pPr>
            <w:r>
              <w:rPr>
                <w:rFonts w:ascii="Calibri" w:hAnsi="Calibri"/>
                <w:color w:val="20384A"/>
                <w:sz w:val="18"/>
              </w:rPr>
              <w:t>51.95%</w:t>
            </w:r>
          </w:p>
        </w:tc>
        <w:tc>
          <w:tcPr>
            <w:tcW w:type="dxa" w:w="1900"/>
            <w:vAlign w:val="center"/>
            <w:tcMar>
              <w:top w:w="80" w:type="dxa"/>
              <w:start w:w="120" w:type="dxa"/>
              <w:bottom w:w="80" w:type="dxa"/>
              <w:end w:w="120" w:type="dxa"/>
            </w:tcMar>
          </w:tcPr>
          <w:p>
            <w:pPr>
              <w:spacing w:after="0"/>
              <w:jc w:val="right"/>
            </w:pPr>
            <w:r>
              <w:rPr>
                <w:rFonts w:ascii="Calibri" w:hAnsi="Calibri"/>
                <w:color w:val="20384A"/>
                <w:sz w:val="18"/>
              </w:rPr>
              <w:t>$0.0M</w:t>
            </w:r>
          </w:p>
        </w:tc>
        <w:tc>
          <w:tcPr>
            <w:tcW w:type="dxa" w:w="1760"/>
            <w:vAlign w:val="center"/>
            <w:tcMar>
              <w:top w:w="80" w:type="dxa"/>
              <w:start w:w="120" w:type="dxa"/>
              <w:bottom w:w="80" w:type="dxa"/>
              <w:end w:w="120" w:type="dxa"/>
            </w:tcMar>
          </w:tcPr>
          <w:p>
            <w:pPr>
              <w:spacing w:after="0"/>
              <w:jc w:val="right"/>
            </w:pPr>
            <w:r>
              <w:rPr>
                <w:rFonts w:ascii="Calibri" w:hAnsi="Calibri"/>
                <w:color w:val="20384A"/>
                <w:sz w:val="18"/>
              </w:rPr>
              <w:t>0.00%</w:t>
            </w:r>
          </w:p>
        </w:tc>
      </w:tr>
      <w:tr>
        <w:tc>
          <w:tcPr>
            <w:tcW w:type="dxa" w:w="3000"/>
            <w:vAlign w:val="center"/>
            <w:tcMar>
              <w:top w:w="80" w:type="dxa"/>
              <w:start w:w="120" w:type="dxa"/>
              <w:bottom w:w="80" w:type="dxa"/>
              <w:end w:w="120" w:type="dxa"/>
            </w:tcMar>
          </w:tcPr>
          <w:p>
            <w:pPr>
              <w:spacing w:after="0"/>
              <w:jc w:val="left"/>
            </w:pPr>
            <w:r>
              <w:rPr>
                <w:rFonts w:ascii="Calibri" w:hAnsi="Calibri"/>
                <w:color w:val="20384A"/>
                <w:sz w:val="18"/>
              </w:rPr>
              <w:t>Watch (4-6 months)</w:t>
            </w:r>
          </w:p>
        </w:tc>
        <w:tc>
          <w:tcPr>
            <w:tcW w:type="dxa" w:w="1350"/>
            <w:vAlign w:val="center"/>
            <w:tcMar>
              <w:top w:w="80" w:type="dxa"/>
              <w:start w:w="120" w:type="dxa"/>
              <w:bottom w:w="80" w:type="dxa"/>
              <w:end w:w="120" w:type="dxa"/>
            </w:tcMar>
          </w:tcPr>
          <w:p>
            <w:pPr>
              <w:spacing w:after="0"/>
              <w:jc w:val="right"/>
            </w:pPr>
            <w:r>
              <w:rPr>
                <w:rFonts w:ascii="Calibri" w:hAnsi="Calibri"/>
                <w:color w:val="20384A"/>
                <w:sz w:val="18"/>
              </w:rPr>
              <w:t>98</w:t>
            </w:r>
          </w:p>
        </w:tc>
        <w:tc>
          <w:tcPr>
            <w:tcW w:type="dxa" w:w="1350"/>
            <w:vAlign w:val="center"/>
            <w:tcMar>
              <w:top w:w="80" w:type="dxa"/>
              <w:start w:w="120" w:type="dxa"/>
              <w:bottom w:w="80" w:type="dxa"/>
              <w:end w:w="120" w:type="dxa"/>
            </w:tcMar>
          </w:tcPr>
          <w:p>
            <w:pPr>
              <w:spacing w:after="0"/>
              <w:jc w:val="right"/>
            </w:pPr>
            <w:r>
              <w:rPr>
                <w:rFonts w:ascii="Calibri" w:hAnsi="Calibri"/>
                <w:color w:val="20384A"/>
                <w:sz w:val="18"/>
              </w:rPr>
              <w:t>3.03%</w:t>
            </w:r>
          </w:p>
        </w:tc>
        <w:tc>
          <w:tcPr>
            <w:tcW w:type="dxa" w:w="1900"/>
            <w:vAlign w:val="center"/>
            <w:tcMar>
              <w:top w:w="80" w:type="dxa"/>
              <w:start w:w="120" w:type="dxa"/>
              <w:bottom w:w="80" w:type="dxa"/>
              <w:end w:w="120" w:type="dxa"/>
            </w:tcMar>
          </w:tcPr>
          <w:p>
            <w:pPr>
              <w:spacing w:after="0"/>
              <w:jc w:val="right"/>
            </w:pPr>
            <w:r>
              <w:rPr>
                <w:rFonts w:ascii="Calibri" w:hAnsi="Calibri"/>
                <w:color w:val="20384A"/>
                <w:sz w:val="18"/>
              </w:rPr>
              <w:t>$1.5M</w:t>
            </w:r>
          </w:p>
        </w:tc>
        <w:tc>
          <w:tcPr>
            <w:tcW w:type="dxa" w:w="1760"/>
            <w:vAlign w:val="center"/>
            <w:tcMar>
              <w:top w:w="80" w:type="dxa"/>
              <w:start w:w="120" w:type="dxa"/>
              <w:bottom w:w="80" w:type="dxa"/>
              <w:end w:w="120" w:type="dxa"/>
            </w:tcMar>
          </w:tcPr>
          <w:p>
            <w:pPr>
              <w:spacing w:after="0"/>
              <w:jc w:val="right"/>
            </w:pPr>
            <w:r>
              <w:rPr>
                <w:rFonts w:ascii="Calibri" w:hAnsi="Calibri"/>
                <w:color w:val="20384A"/>
                <w:sz w:val="18"/>
              </w:rPr>
              <w:t>6.47%</w:t>
            </w:r>
          </w:p>
        </w:tc>
      </w:tr>
      <w:tr>
        <w:tc>
          <w:tcPr>
            <w:tcW w:type="dxa" w:w="3000"/>
            <w:vAlign w:val="center"/>
            <w:tcMar>
              <w:top w:w="80" w:type="dxa"/>
              <w:start w:w="120" w:type="dxa"/>
              <w:bottom w:w="80" w:type="dxa"/>
              <w:end w:w="120" w:type="dxa"/>
            </w:tcMar>
          </w:tcPr>
          <w:p>
            <w:pPr>
              <w:spacing w:after="0"/>
              <w:jc w:val="left"/>
            </w:pPr>
            <w:r>
              <w:rPr>
                <w:rFonts w:ascii="Calibri" w:hAnsi="Calibri"/>
                <w:color w:val="20384A"/>
                <w:sz w:val="18"/>
              </w:rPr>
              <w:t>At Risk (7-12 months)</w:t>
            </w:r>
          </w:p>
        </w:tc>
        <w:tc>
          <w:tcPr>
            <w:tcW w:type="dxa" w:w="1350"/>
            <w:vAlign w:val="center"/>
            <w:tcMar>
              <w:top w:w="80" w:type="dxa"/>
              <w:start w:w="120" w:type="dxa"/>
              <w:bottom w:w="80" w:type="dxa"/>
              <w:end w:w="120" w:type="dxa"/>
            </w:tcMar>
          </w:tcPr>
          <w:p>
            <w:pPr>
              <w:spacing w:after="0"/>
              <w:jc w:val="right"/>
            </w:pPr>
            <w:r>
              <w:rPr>
                <w:rFonts w:ascii="Calibri" w:hAnsi="Calibri"/>
                <w:color w:val="20384A"/>
                <w:sz w:val="18"/>
              </w:rPr>
              <w:t>165</w:t>
            </w:r>
          </w:p>
        </w:tc>
        <w:tc>
          <w:tcPr>
            <w:tcW w:type="dxa" w:w="1350"/>
            <w:vAlign w:val="center"/>
            <w:tcMar>
              <w:top w:w="80" w:type="dxa"/>
              <w:start w:w="120" w:type="dxa"/>
              <w:bottom w:w="80" w:type="dxa"/>
              <w:end w:w="120" w:type="dxa"/>
            </w:tcMar>
          </w:tcPr>
          <w:p>
            <w:pPr>
              <w:spacing w:after="0"/>
              <w:jc w:val="right"/>
            </w:pPr>
            <w:r>
              <w:rPr>
                <w:rFonts w:ascii="Calibri" w:hAnsi="Calibri"/>
                <w:color w:val="20384A"/>
                <w:sz w:val="18"/>
              </w:rPr>
              <w:t>5.11%</w:t>
            </w:r>
          </w:p>
        </w:tc>
        <w:tc>
          <w:tcPr>
            <w:tcW w:type="dxa" w:w="1900"/>
            <w:vAlign w:val="center"/>
            <w:tcMar>
              <w:top w:w="80" w:type="dxa"/>
              <w:start w:w="120" w:type="dxa"/>
              <w:bottom w:w="80" w:type="dxa"/>
              <w:end w:w="120" w:type="dxa"/>
            </w:tcMar>
          </w:tcPr>
          <w:p>
            <w:pPr>
              <w:spacing w:after="0"/>
              <w:jc w:val="right"/>
            </w:pPr>
            <w:r>
              <w:rPr>
                <w:rFonts w:ascii="Calibri" w:hAnsi="Calibri"/>
                <w:color w:val="20384A"/>
                <w:sz w:val="18"/>
              </w:rPr>
              <w:t>$2.6M</w:t>
            </w:r>
          </w:p>
        </w:tc>
        <w:tc>
          <w:tcPr>
            <w:tcW w:type="dxa" w:w="1760"/>
            <w:vAlign w:val="center"/>
            <w:tcMar>
              <w:top w:w="80" w:type="dxa"/>
              <w:start w:w="120" w:type="dxa"/>
              <w:bottom w:w="80" w:type="dxa"/>
              <w:end w:w="120" w:type="dxa"/>
            </w:tcMar>
          </w:tcPr>
          <w:p>
            <w:pPr>
              <w:spacing w:after="0"/>
              <w:jc w:val="right"/>
            </w:pPr>
            <w:r>
              <w:rPr>
                <w:rFonts w:ascii="Calibri" w:hAnsi="Calibri"/>
                <w:color w:val="20384A"/>
                <w:sz w:val="18"/>
              </w:rPr>
              <w:t>11.26%</w:t>
            </w:r>
          </w:p>
        </w:tc>
      </w:tr>
      <w:tr>
        <w:tc>
          <w:tcPr>
            <w:tcW w:type="dxa" w:w="3000"/>
            <w:vAlign w:val="center"/>
            <w:tcMar>
              <w:top w:w="80" w:type="dxa"/>
              <w:start w:w="120" w:type="dxa"/>
              <w:bottom w:w="80" w:type="dxa"/>
              <w:end w:w="120" w:type="dxa"/>
            </w:tcMar>
          </w:tcPr>
          <w:p>
            <w:pPr>
              <w:spacing w:after="0"/>
              <w:jc w:val="left"/>
            </w:pPr>
            <w:r>
              <w:rPr>
                <w:rFonts w:ascii="Calibri" w:hAnsi="Calibri"/>
                <w:color w:val="20384A"/>
                <w:sz w:val="18"/>
              </w:rPr>
              <w:t>Dormant (13+ months)</w:t>
            </w:r>
          </w:p>
        </w:tc>
        <w:tc>
          <w:tcPr>
            <w:tcW w:type="dxa" w:w="1350"/>
            <w:vAlign w:val="center"/>
            <w:tcMar>
              <w:top w:w="80" w:type="dxa"/>
              <w:start w:w="120" w:type="dxa"/>
              <w:bottom w:w="80" w:type="dxa"/>
              <w:end w:w="120" w:type="dxa"/>
            </w:tcMar>
          </w:tcPr>
          <w:p>
            <w:pPr>
              <w:spacing w:after="0"/>
              <w:jc w:val="right"/>
            </w:pPr>
            <w:r>
              <w:rPr>
                <w:rFonts w:ascii="Calibri" w:hAnsi="Calibri"/>
                <w:color w:val="20384A"/>
                <w:sz w:val="18"/>
              </w:rPr>
              <w:t>1,268</w:t>
            </w:r>
          </w:p>
        </w:tc>
        <w:tc>
          <w:tcPr>
            <w:tcW w:type="dxa" w:w="1350"/>
            <w:vAlign w:val="center"/>
            <w:tcMar>
              <w:top w:w="80" w:type="dxa"/>
              <w:start w:w="120" w:type="dxa"/>
              <w:bottom w:w="80" w:type="dxa"/>
              <w:end w:w="120" w:type="dxa"/>
            </w:tcMar>
          </w:tcPr>
          <w:p>
            <w:pPr>
              <w:spacing w:after="0"/>
              <w:jc w:val="right"/>
            </w:pPr>
            <w:r>
              <w:rPr>
                <w:rFonts w:ascii="Calibri" w:hAnsi="Calibri"/>
                <w:color w:val="20384A"/>
                <w:sz w:val="18"/>
              </w:rPr>
              <w:t>39.26%</w:t>
            </w:r>
          </w:p>
        </w:tc>
        <w:tc>
          <w:tcPr>
            <w:tcW w:type="dxa" w:w="1900"/>
            <w:vAlign w:val="center"/>
            <w:tcMar>
              <w:top w:w="80" w:type="dxa"/>
              <w:start w:w="120" w:type="dxa"/>
              <w:bottom w:w="80" w:type="dxa"/>
              <w:end w:w="120" w:type="dxa"/>
            </w:tcMar>
          </w:tcPr>
          <w:p>
            <w:pPr>
              <w:spacing w:after="0"/>
              <w:jc w:val="right"/>
            </w:pPr>
            <w:r>
              <w:rPr>
                <w:rFonts w:ascii="Calibri" w:hAnsi="Calibri"/>
                <w:color w:val="20384A"/>
                <w:sz w:val="18"/>
              </w:rPr>
              <w:t>$19.0M</w:t>
            </w:r>
          </w:p>
        </w:tc>
        <w:tc>
          <w:tcPr>
            <w:tcW w:type="dxa" w:w="1760"/>
            <w:vAlign w:val="center"/>
            <w:tcMar>
              <w:top w:w="80" w:type="dxa"/>
              <w:start w:w="120" w:type="dxa"/>
              <w:bottom w:w="80" w:type="dxa"/>
              <w:end w:w="120" w:type="dxa"/>
            </w:tcMar>
          </w:tcPr>
          <w:p>
            <w:pPr>
              <w:spacing w:after="0"/>
              <w:jc w:val="right"/>
            </w:pPr>
            <w:r>
              <w:rPr>
                <w:rFonts w:ascii="Calibri" w:hAnsi="Calibri"/>
                <w:color w:val="20384A"/>
                <w:sz w:val="18"/>
              </w:rPr>
              <w:t>82.27%</w:t>
            </w:r>
          </w:p>
        </w:tc>
      </w:tr>
      <w:tr>
        <w:tc>
          <w:tcPr>
            <w:tcW w:type="dxa" w:w="3000"/>
            <w:vAlign w:val="center"/>
            <w:tcMar>
              <w:top w:w="80" w:type="dxa"/>
              <w:start w:w="120" w:type="dxa"/>
              <w:bottom w:w="80" w:type="dxa"/>
              <w:end w:w="120" w:type="dxa"/>
            </w:tcMar>
          </w:tcPr>
          <w:p>
            <w:pPr>
              <w:spacing w:after="0"/>
              <w:jc w:val="left"/>
            </w:pPr>
            <w:r>
              <w:rPr>
                <w:rFonts w:ascii="Calibri" w:hAnsi="Calibri"/>
                <w:color w:val="20384A"/>
                <w:sz w:val="18"/>
              </w:rPr>
              <w:t>No Positive Sales</w:t>
            </w:r>
          </w:p>
        </w:tc>
        <w:tc>
          <w:tcPr>
            <w:tcW w:type="dxa" w:w="1350"/>
            <w:vAlign w:val="center"/>
            <w:tcMar>
              <w:top w:w="80" w:type="dxa"/>
              <w:start w:w="120" w:type="dxa"/>
              <w:bottom w:w="80" w:type="dxa"/>
              <w:end w:w="120" w:type="dxa"/>
            </w:tcMar>
          </w:tcPr>
          <w:p>
            <w:pPr>
              <w:spacing w:after="0"/>
              <w:jc w:val="right"/>
            </w:pPr>
            <w:r>
              <w:rPr>
                <w:rFonts w:ascii="Calibri" w:hAnsi="Calibri"/>
                <w:color w:val="20384A"/>
                <w:sz w:val="18"/>
              </w:rPr>
              <w:t>21</w:t>
            </w:r>
          </w:p>
        </w:tc>
        <w:tc>
          <w:tcPr>
            <w:tcW w:type="dxa" w:w="1350"/>
            <w:vAlign w:val="center"/>
            <w:tcMar>
              <w:top w:w="80" w:type="dxa"/>
              <w:start w:w="120" w:type="dxa"/>
              <w:bottom w:w="80" w:type="dxa"/>
              <w:end w:w="120" w:type="dxa"/>
            </w:tcMar>
          </w:tcPr>
          <w:p>
            <w:pPr>
              <w:spacing w:after="0"/>
              <w:jc w:val="right"/>
            </w:pPr>
            <w:r>
              <w:rPr>
                <w:rFonts w:ascii="Calibri" w:hAnsi="Calibri"/>
                <w:color w:val="20384A"/>
                <w:sz w:val="18"/>
              </w:rPr>
              <w:t>0.65%</w:t>
            </w:r>
          </w:p>
        </w:tc>
        <w:tc>
          <w:tcPr>
            <w:tcW w:type="dxa" w:w="1900"/>
            <w:vAlign w:val="center"/>
            <w:tcMar>
              <w:top w:w="80" w:type="dxa"/>
              <w:start w:w="120" w:type="dxa"/>
              <w:bottom w:w="80" w:type="dxa"/>
              <w:end w:w="120" w:type="dxa"/>
            </w:tcMar>
          </w:tcPr>
          <w:p>
            <w:pPr>
              <w:spacing w:after="0"/>
              <w:jc w:val="right"/>
            </w:pPr>
            <w:r>
              <w:rPr>
                <w:rFonts w:ascii="Calibri" w:hAnsi="Calibri"/>
                <w:color w:val="20384A"/>
                <w:sz w:val="18"/>
              </w:rPr>
              <w:t>$0.0M</w:t>
            </w:r>
          </w:p>
        </w:tc>
        <w:tc>
          <w:tcPr>
            <w:tcW w:type="dxa" w:w="1760"/>
            <w:vAlign w:val="center"/>
            <w:tcMar>
              <w:top w:w="80" w:type="dxa"/>
              <w:start w:w="120" w:type="dxa"/>
              <w:bottom w:w="80" w:type="dxa"/>
              <w:end w:w="120" w:type="dxa"/>
            </w:tcMar>
          </w:tcPr>
          <w:p>
            <w:pPr>
              <w:spacing w:after="0"/>
              <w:jc w:val="right"/>
            </w:pPr>
            <w:r>
              <w:rPr>
                <w:rFonts w:ascii="Calibri" w:hAnsi="Calibri"/>
                <w:color w:val="20384A"/>
                <w:sz w:val="18"/>
              </w:rPr>
              <w:t>0.00%</w:t>
            </w:r>
          </w:p>
        </w:tc>
      </w:tr>
    </w:tbl>
    <w:p>
      <w:pPr>
        <w:keepLines/>
      </w:pPr>
      <w:r>
        <w:rPr>
          <w:rFonts w:ascii="Calibri" w:hAnsi="Calibri"/>
          <w:color w:val="20384A"/>
          <w:sz w:val="22"/>
        </w:rPr>
        <w:t>The first outreach wave should focus on high-value customers inactive for 7-12 months, where intervention is still timely. Watch customers should receive lower-cost proactive outreach, while dormant accounts should be handled as a controlled reactivation test. Inactivity is only a behavioral flag; seasonality, planned buying cycles, mergers, or historical class changes may explain the absence of recent sales.</w:t>
      </w:r>
    </w:p>
    <w:p>
      <w:r>
        <w:br w:type="page"/>
      </w:r>
    </w:p>
    <w:p>
      <w:pPr>
        <w:pStyle w:val="Heading1"/>
        <w:keepNext/>
      </w:pPr>
      <w:r>
        <w:t>Strategic Recommendations</w:t>
      </w:r>
    </w:p>
    <w:p>
      <w:pPr>
        <w:pStyle w:val="Heading2"/>
        <w:keepNext/>
      </w:pPr>
      <w:r>
        <w:t>1. Protect the core while diversifying the growth pipeline</w:t>
      </w:r>
    </w:p>
    <w:p>
      <w:pPr>
        <w:keepLines/>
      </w:pPr>
      <w:r>
        <w:rPr>
          <w:rFonts w:ascii="Calibri" w:hAnsi="Calibri"/>
          <w:color w:val="20384A"/>
          <w:sz w:val="22"/>
        </w:rPr>
        <w:t>Create an Independent Retail operating review covering revenue, margin, active customers, retention status, service, and company revenue share. In parallel, test repeatable acquisition plays in high-margin segments such as Retail Cooperative Network and Independent Distribution Partner.</w:t>
      </w:r>
    </w:p>
    <w:p>
      <w:pPr>
        <w:keepLines/>
      </w:pPr>
      <w:r>
        <w:rPr>
          <w:rFonts w:ascii="Calibri" w:hAnsi="Calibri"/>
          <w:b/>
          <w:color w:val="20384A"/>
          <w:sz w:val="22"/>
        </w:rPr>
        <w:t>Primary measures:</w:t>
      </w:r>
      <w:r>
        <w:rPr>
          <w:rFonts w:ascii="Calibri" w:hAnsi="Calibri"/>
          <w:color w:val="20384A"/>
          <w:sz w:val="22"/>
        </w:rPr>
        <w:t xml:space="preserve"> Core-segment retention and margin; new revenue and gross profit from targeted expansion segments.</w:t>
      </w:r>
    </w:p>
    <w:p>
      <w:pPr>
        <w:pStyle w:val="Heading2"/>
        <w:keepNext/>
      </w:pPr>
      <w:r>
        <w:t>2. Build a value-based retention queue</w:t>
      </w:r>
    </w:p>
    <w:p>
      <w:pPr>
        <w:keepLines/>
      </w:pPr>
      <w:r>
        <w:rPr>
          <w:rFonts w:ascii="Calibri" w:hAnsi="Calibri"/>
          <w:color w:val="20384A"/>
          <w:sz w:val="22"/>
        </w:rPr>
        <w:t>Run the lifecycle logic monthly. Prioritize the highest-baseline 7-12 month accounts for human outreach, use low-cost interventions for 4-6 month accounts, and test reactivation only on the most valuable dormant accounts.</w:t>
      </w:r>
    </w:p>
    <w:p>
      <w:pPr>
        <w:keepLines/>
      </w:pPr>
      <w:r>
        <w:rPr>
          <w:rFonts w:ascii="Calibri" w:hAnsi="Calibri"/>
          <w:b/>
          <w:color w:val="20384A"/>
          <w:sz w:val="22"/>
        </w:rPr>
        <w:t>Primary measures:</w:t>
      </w:r>
      <w:r>
        <w:rPr>
          <w:rFonts w:ascii="Calibri" w:hAnsi="Calibri"/>
          <w:color w:val="20384A"/>
          <w:sz w:val="22"/>
        </w:rPr>
        <w:t xml:space="preserve"> Watch-to-active and at-risk-to-active conversion, recovered gross profit, time to intervention, and campaign cost per reactivation.</w:t>
      </w:r>
    </w:p>
    <w:p>
      <w:pPr>
        <w:pStyle w:val="Heading2"/>
        <w:keepNext/>
      </w:pPr>
      <w:r>
        <w:t>3. Improve margin in large, margin-light segments</w:t>
      </w:r>
    </w:p>
    <w:p>
      <w:pPr>
        <w:keepLines/>
      </w:pPr>
      <w:r>
        <w:rPr>
          <w:rFonts w:ascii="Calibri" w:hAnsi="Calibri"/>
          <w:color w:val="20384A"/>
          <w:sz w:val="22"/>
        </w:rPr>
        <w:t>Start with Wholesale Trade and other material segments whose gross-profit share trails their revenue share. Diagnose price realization, discounting, product mix, purchasing, freight recovery, and service intensity before setting blanket growth targets.</w:t>
      </w:r>
    </w:p>
    <w:p>
      <w:pPr>
        <w:keepLines/>
      </w:pPr>
      <w:r>
        <w:rPr>
          <w:rFonts w:ascii="Calibri" w:hAnsi="Calibri"/>
          <w:b/>
          <w:color w:val="20384A"/>
          <w:sz w:val="22"/>
        </w:rPr>
        <w:t>Primary measures:</w:t>
      </w:r>
      <w:r>
        <w:rPr>
          <w:rFonts w:ascii="Calibri" w:hAnsi="Calibri"/>
          <w:color w:val="20384A"/>
          <w:sz w:val="22"/>
        </w:rPr>
        <w:t xml:space="preserve"> Segment gross margin, gross profit per customer, realized price, freight recovery, returns, and cost-to-serve where available.</w:t>
      </w:r>
    </w:p>
    <w:p>
      <w:pPr>
        <w:pStyle w:val="Heading2"/>
        <w:keepNext/>
      </w:pPr>
      <w:r>
        <w:t>Management scorecard</w:t>
      </w:r>
    </w:p>
    <w:tbl>
      <w:tblPr>
        <w:tblW w:type="dxa" w:w="9360"/>
        <w:tblLayout w:type="fixed"/>
        <w:tblLook w:firstColumn="1" w:firstRow="1" w:lastColumn="0" w:lastRow="0" w:noHBand="0" w:noVBand="1" w:val="04A0"/>
        <w:jc w:val="left"/>
        <w:tblInd w:w="120" w:type="dxa"/>
        <w:tblBorders>
          <w:top w:val="single" w:sz="4" w:color="D9E0E7"/>
          <w:left w:val="single" w:sz="4" w:color="D9E0E7"/>
          <w:bottom w:val="single" w:sz="4" w:color="D9E0E7"/>
          <w:right w:val="single" w:sz="4" w:color="D9E0E7"/>
          <w:insideH w:val="single" w:sz="4" w:color="D9E0E7"/>
          <w:insideV w:val="single" w:sz="4" w:color="D9E0E7"/>
        </w:tblBorders>
      </w:tblPr>
      <w:tblGrid>
        <w:gridCol w:w="2100"/>
        <w:gridCol w:w="3100"/>
        <w:gridCol w:w="4160"/>
      </w:tblGrid>
      <w:tr>
        <w:trPr>
          <w:tblHeader w:val="true"/>
        </w:trPr>
        <w:tc>
          <w:tcPr>
            <w:tcW w:type="dxa" w:w="2100"/>
            <w:tcMar>
              <w:top w:w="80" w:type="dxa"/>
              <w:start w:w="120" w:type="dxa"/>
              <w:bottom w:w="80" w:type="dxa"/>
              <w:end w:w="120" w:type="dxa"/>
            </w:tcMar>
            <w:shd w:fill="F2F4F7"/>
            <w:vAlign w:val="center"/>
          </w:tcPr>
          <w:p>
            <w:pPr>
              <w:spacing w:after="0"/>
            </w:pPr>
            <w:r>
              <w:rPr>
                <w:rFonts w:ascii="Calibri" w:hAnsi="Calibri"/>
                <w:b/>
                <w:color w:val="17365D"/>
                <w:sz w:val="18"/>
              </w:rPr>
              <w:t>Dimension</w:t>
            </w:r>
          </w:p>
        </w:tc>
        <w:tc>
          <w:tcPr>
            <w:tcW w:type="dxa" w:w="3100"/>
            <w:tcMar>
              <w:top w:w="80" w:type="dxa"/>
              <w:start w:w="120" w:type="dxa"/>
              <w:bottom w:w="80" w:type="dxa"/>
              <w:end w:w="120" w:type="dxa"/>
            </w:tcMar>
            <w:shd w:fill="F2F4F7"/>
            <w:vAlign w:val="center"/>
          </w:tcPr>
          <w:p>
            <w:pPr>
              <w:spacing w:after="0"/>
            </w:pPr>
            <w:r>
              <w:rPr>
                <w:rFonts w:ascii="Calibri" w:hAnsi="Calibri"/>
                <w:b/>
                <w:color w:val="17365D"/>
                <w:sz w:val="18"/>
              </w:rPr>
              <w:t>Core metric</w:t>
            </w:r>
          </w:p>
        </w:tc>
        <w:tc>
          <w:tcPr>
            <w:tcW w:type="dxa" w:w="4160"/>
            <w:tcMar>
              <w:top w:w="80" w:type="dxa"/>
              <w:start w:w="120" w:type="dxa"/>
              <w:bottom w:w="80" w:type="dxa"/>
              <w:end w:w="120" w:type="dxa"/>
            </w:tcMar>
            <w:shd w:fill="F2F4F7"/>
            <w:vAlign w:val="center"/>
          </w:tcPr>
          <w:p>
            <w:pPr>
              <w:spacing w:after="0"/>
            </w:pPr>
            <w:r>
              <w:rPr>
                <w:rFonts w:ascii="Calibri" w:hAnsi="Calibri"/>
                <w:b/>
                <w:color w:val="17365D"/>
                <w:sz w:val="18"/>
              </w:rPr>
              <w:t>Decision signal</w:t>
            </w:r>
          </w:p>
        </w:tc>
      </w:tr>
      <w:tr>
        <w:tc>
          <w:tcPr>
            <w:tcW w:type="dxa" w:w="2100"/>
            <w:vAlign w:val="center"/>
            <w:tcMar>
              <w:top w:w="80" w:type="dxa"/>
              <w:start w:w="120" w:type="dxa"/>
              <w:bottom w:w="80" w:type="dxa"/>
              <w:end w:w="120" w:type="dxa"/>
            </w:tcMar>
          </w:tcPr>
          <w:p>
            <w:pPr>
              <w:spacing w:after="0"/>
            </w:pPr>
            <w:r>
              <w:rPr>
                <w:rFonts w:ascii="Calibri" w:hAnsi="Calibri"/>
                <w:color w:val="20384A"/>
                <w:sz w:val="18"/>
              </w:rPr>
              <w:t>Growth</w:t>
            </w:r>
          </w:p>
        </w:tc>
        <w:tc>
          <w:tcPr>
            <w:tcW w:type="dxa" w:w="3100"/>
            <w:vAlign w:val="center"/>
            <w:tcMar>
              <w:top w:w="80" w:type="dxa"/>
              <w:start w:w="120" w:type="dxa"/>
              <w:bottom w:w="80" w:type="dxa"/>
              <w:end w:w="120" w:type="dxa"/>
            </w:tcMar>
          </w:tcPr>
          <w:p>
            <w:pPr>
              <w:spacing w:after="0"/>
            </w:pPr>
            <w:r>
              <w:rPr>
                <w:rFonts w:ascii="Calibri" w:hAnsi="Calibri"/>
                <w:color w:val="20384A"/>
                <w:sz w:val="18"/>
              </w:rPr>
              <w:t>Recognized revenue growth</w:t>
            </w:r>
          </w:p>
        </w:tc>
        <w:tc>
          <w:tcPr>
            <w:tcW w:type="dxa" w:w="4160"/>
            <w:vAlign w:val="center"/>
            <w:tcMar>
              <w:top w:w="80" w:type="dxa"/>
              <w:start w:w="120" w:type="dxa"/>
              <w:bottom w:w="80" w:type="dxa"/>
              <w:end w:w="120" w:type="dxa"/>
            </w:tcMar>
          </w:tcPr>
          <w:p>
            <w:pPr>
              <w:spacing w:after="0"/>
            </w:pPr>
            <w:r>
              <w:rPr>
                <w:rFonts w:ascii="Calibri" w:hAnsi="Calibri"/>
                <w:color w:val="20384A"/>
                <w:sz w:val="18"/>
              </w:rPr>
              <w:t>Growth slowing without margin support</w:t>
            </w:r>
          </w:p>
        </w:tc>
      </w:tr>
      <w:tr>
        <w:tc>
          <w:tcPr>
            <w:tcW w:type="dxa" w:w="2100"/>
            <w:vAlign w:val="center"/>
            <w:tcMar>
              <w:top w:w="80" w:type="dxa"/>
              <w:start w:w="120" w:type="dxa"/>
              <w:bottom w:w="80" w:type="dxa"/>
              <w:end w:w="120" w:type="dxa"/>
            </w:tcMar>
          </w:tcPr>
          <w:p>
            <w:pPr>
              <w:spacing w:after="0"/>
            </w:pPr>
            <w:r>
              <w:rPr>
                <w:rFonts w:ascii="Calibri" w:hAnsi="Calibri"/>
                <w:color w:val="20384A"/>
                <w:sz w:val="18"/>
              </w:rPr>
              <w:t>Profitability</w:t>
            </w:r>
          </w:p>
        </w:tc>
        <w:tc>
          <w:tcPr>
            <w:tcW w:type="dxa" w:w="3100"/>
            <w:vAlign w:val="center"/>
            <w:tcMar>
              <w:top w:w="80" w:type="dxa"/>
              <w:start w:w="120" w:type="dxa"/>
              <w:bottom w:w="80" w:type="dxa"/>
              <w:end w:w="120" w:type="dxa"/>
            </w:tcMar>
          </w:tcPr>
          <w:p>
            <w:pPr>
              <w:spacing w:after="0"/>
            </w:pPr>
            <w:r>
              <w:rPr>
                <w:rFonts w:ascii="Calibri" w:hAnsi="Calibri"/>
                <w:color w:val="20384A"/>
                <w:sz w:val="18"/>
              </w:rPr>
              <w:t>Gross-profit growth and margin</w:t>
            </w:r>
          </w:p>
        </w:tc>
        <w:tc>
          <w:tcPr>
            <w:tcW w:type="dxa" w:w="4160"/>
            <w:vAlign w:val="center"/>
            <w:tcMar>
              <w:top w:w="80" w:type="dxa"/>
              <w:start w:w="120" w:type="dxa"/>
              <w:bottom w:w="80" w:type="dxa"/>
              <w:end w:w="120" w:type="dxa"/>
            </w:tcMar>
          </w:tcPr>
          <w:p>
            <w:pPr>
              <w:spacing w:after="0"/>
            </w:pPr>
            <w:r>
              <w:rPr>
                <w:rFonts w:ascii="Calibri" w:hAnsi="Calibri"/>
                <w:color w:val="20384A"/>
                <w:sz w:val="18"/>
              </w:rPr>
              <w:t>Revenue-heavy, profit-light segment</w:t>
            </w:r>
          </w:p>
        </w:tc>
      </w:tr>
      <w:tr>
        <w:tc>
          <w:tcPr>
            <w:tcW w:type="dxa" w:w="2100"/>
            <w:vAlign w:val="center"/>
            <w:tcMar>
              <w:top w:w="80" w:type="dxa"/>
              <w:start w:w="120" w:type="dxa"/>
              <w:bottom w:w="80" w:type="dxa"/>
              <w:end w:w="120" w:type="dxa"/>
            </w:tcMar>
          </w:tcPr>
          <w:p>
            <w:pPr>
              <w:spacing w:after="0"/>
            </w:pPr>
            <w:r>
              <w:rPr>
                <w:rFonts w:ascii="Calibri" w:hAnsi="Calibri"/>
                <w:color w:val="20384A"/>
                <w:sz w:val="18"/>
              </w:rPr>
              <w:t>Concentration</w:t>
            </w:r>
          </w:p>
        </w:tc>
        <w:tc>
          <w:tcPr>
            <w:tcW w:type="dxa" w:w="3100"/>
            <w:vAlign w:val="center"/>
            <w:tcMar>
              <w:top w:w="80" w:type="dxa"/>
              <w:start w:w="120" w:type="dxa"/>
              <w:bottom w:w="80" w:type="dxa"/>
              <w:end w:w="120" w:type="dxa"/>
            </w:tcMar>
          </w:tcPr>
          <w:p>
            <w:pPr>
              <w:spacing w:after="0"/>
            </w:pPr>
            <w:r>
              <w:rPr>
                <w:rFonts w:ascii="Calibri" w:hAnsi="Calibri"/>
                <w:color w:val="20384A"/>
                <w:sz w:val="18"/>
              </w:rPr>
              <w:t>Largest-segment share</w:t>
            </w:r>
          </w:p>
        </w:tc>
        <w:tc>
          <w:tcPr>
            <w:tcW w:type="dxa" w:w="4160"/>
            <w:vAlign w:val="center"/>
            <w:tcMar>
              <w:top w:w="80" w:type="dxa"/>
              <w:start w:w="120" w:type="dxa"/>
              <w:bottom w:w="80" w:type="dxa"/>
              <w:end w:w="120" w:type="dxa"/>
            </w:tcMar>
          </w:tcPr>
          <w:p>
            <w:pPr>
              <w:spacing w:after="0"/>
            </w:pPr>
            <w:r>
              <w:rPr>
                <w:rFonts w:ascii="Calibri" w:hAnsi="Calibri"/>
                <w:color w:val="20384A"/>
                <w:sz w:val="18"/>
              </w:rPr>
              <w:t>Segment share rising faster than diversification</w:t>
            </w:r>
          </w:p>
        </w:tc>
      </w:tr>
      <w:tr>
        <w:tc>
          <w:tcPr>
            <w:tcW w:type="dxa" w:w="2100"/>
            <w:vAlign w:val="center"/>
            <w:tcMar>
              <w:top w:w="80" w:type="dxa"/>
              <w:start w:w="120" w:type="dxa"/>
              <w:bottom w:w="80" w:type="dxa"/>
              <w:end w:w="120" w:type="dxa"/>
            </w:tcMar>
          </w:tcPr>
          <w:p>
            <w:pPr>
              <w:spacing w:after="0"/>
            </w:pPr>
            <w:r>
              <w:rPr>
                <w:rFonts w:ascii="Calibri" w:hAnsi="Calibri"/>
                <w:color w:val="20384A"/>
                <w:sz w:val="18"/>
              </w:rPr>
              <w:t>Retention</w:t>
            </w:r>
          </w:p>
        </w:tc>
        <w:tc>
          <w:tcPr>
            <w:tcW w:type="dxa" w:w="3100"/>
            <w:vAlign w:val="center"/>
            <w:tcMar>
              <w:top w:w="80" w:type="dxa"/>
              <w:start w:w="120" w:type="dxa"/>
              <w:bottom w:w="80" w:type="dxa"/>
              <w:end w:w="120" w:type="dxa"/>
            </w:tcMar>
          </w:tcPr>
          <w:p>
            <w:pPr>
              <w:spacing w:after="0"/>
            </w:pPr>
            <w:r>
              <w:rPr>
                <w:rFonts w:ascii="Calibri" w:hAnsi="Calibri"/>
                <w:color w:val="20384A"/>
                <w:sz w:val="18"/>
              </w:rPr>
              <w:t>Trailing revenue baseline at risk</w:t>
            </w:r>
          </w:p>
        </w:tc>
        <w:tc>
          <w:tcPr>
            <w:tcW w:type="dxa" w:w="4160"/>
            <w:vAlign w:val="center"/>
            <w:tcMar>
              <w:top w:w="80" w:type="dxa"/>
              <w:start w:w="120" w:type="dxa"/>
              <w:bottom w:w="80" w:type="dxa"/>
              <w:end w:w="120" w:type="dxa"/>
            </w:tcMar>
          </w:tcPr>
          <w:p>
            <w:pPr>
              <w:spacing w:after="0"/>
            </w:pPr>
            <w:r>
              <w:rPr>
                <w:rFonts w:ascii="Calibri" w:hAnsi="Calibri"/>
                <w:color w:val="20384A"/>
                <w:sz w:val="18"/>
              </w:rPr>
              <w:t>Watch and at-risk pool expanding</w:t>
            </w:r>
          </w:p>
        </w:tc>
      </w:tr>
      <w:tr>
        <w:tc>
          <w:tcPr>
            <w:tcW w:type="dxa" w:w="2100"/>
            <w:vAlign w:val="center"/>
            <w:tcMar>
              <w:top w:w="80" w:type="dxa"/>
              <w:start w:w="120" w:type="dxa"/>
              <w:bottom w:w="80" w:type="dxa"/>
              <w:end w:w="120" w:type="dxa"/>
            </w:tcMar>
          </w:tcPr>
          <w:p>
            <w:pPr>
              <w:spacing w:after="0"/>
            </w:pPr>
            <w:r>
              <w:rPr>
                <w:rFonts w:ascii="Calibri" w:hAnsi="Calibri"/>
                <w:color w:val="20384A"/>
                <w:sz w:val="18"/>
              </w:rPr>
              <w:t>Seasonality</w:t>
            </w:r>
          </w:p>
        </w:tc>
        <w:tc>
          <w:tcPr>
            <w:tcW w:type="dxa" w:w="3100"/>
            <w:vAlign w:val="center"/>
            <w:tcMar>
              <w:top w:w="80" w:type="dxa"/>
              <w:start w:w="120" w:type="dxa"/>
              <w:bottom w:w="80" w:type="dxa"/>
              <w:end w:w="120" w:type="dxa"/>
            </w:tcMar>
          </w:tcPr>
          <w:p>
            <w:pPr>
              <w:spacing w:after="0"/>
            </w:pPr>
            <w:r>
              <w:rPr>
                <w:rFonts w:ascii="Calibri" w:hAnsi="Calibri"/>
                <w:color w:val="20384A"/>
                <w:sz w:val="18"/>
              </w:rPr>
              <w:t>Q4 revenue share</w:t>
            </w:r>
          </w:p>
        </w:tc>
        <w:tc>
          <w:tcPr>
            <w:tcW w:type="dxa" w:w="4160"/>
            <w:vAlign w:val="center"/>
            <w:tcMar>
              <w:top w:w="80" w:type="dxa"/>
              <w:start w:w="120" w:type="dxa"/>
              <w:bottom w:w="80" w:type="dxa"/>
              <w:end w:w="120" w:type="dxa"/>
            </w:tcMar>
          </w:tcPr>
          <w:p>
            <w:pPr>
              <w:spacing w:after="0"/>
            </w:pPr>
            <w:r>
              <w:rPr>
                <w:rFonts w:ascii="Calibri" w:hAnsi="Calibri"/>
                <w:color w:val="20384A"/>
                <w:sz w:val="18"/>
              </w:rPr>
              <w:t>Peak-quarter service or cash strain</w:t>
            </w:r>
          </w:p>
        </w:tc>
      </w:tr>
    </w:tbl>
    <w:p>
      <w:r>
        <w:br w:type="page"/>
      </w:r>
    </w:p>
    <w:p>
      <w:pPr>
        <w:pStyle w:val="Heading1"/>
        <w:keepNext/>
      </w:pPr>
      <w:r>
        <w:t>Methodology, Limitations, and Reproducibility</w:t>
      </w:r>
    </w:p>
    <w:p>
      <w:pPr>
        <w:pStyle w:val="Heading2"/>
        <w:keepNext/>
      </w:pPr>
      <w:r>
        <w:t>Core analytical rules</w:t>
      </w:r>
    </w:p>
    <w:tbl>
      <w:tblPr>
        <w:tblW w:type="dxa" w:w="9360"/>
        <w:tblLayout w:type="fixed"/>
        <w:tblLook w:firstColumn="1" w:firstRow="1" w:lastColumn="0" w:lastRow="0" w:noHBand="0" w:noVBand="1" w:val="04A0"/>
        <w:jc w:val="left"/>
        <w:tblInd w:w="120" w:type="dxa"/>
        <w:tblBorders>
          <w:top w:val="single" w:sz="4" w:color="D9E0E7"/>
          <w:left w:val="single" w:sz="4" w:color="D9E0E7"/>
          <w:bottom w:val="single" w:sz="4" w:color="D9E0E7"/>
          <w:right w:val="single" w:sz="4" w:color="D9E0E7"/>
          <w:insideH w:val="single" w:sz="4" w:color="D9E0E7"/>
          <w:insideV w:val="single" w:sz="4" w:color="D9E0E7"/>
        </w:tblBorders>
      </w:tblPr>
      <w:tblGrid>
        <w:gridCol w:w="2700"/>
        <w:gridCol w:w="6660"/>
      </w:tblGrid>
      <w:tr>
        <w:trPr>
          <w:tblHeader w:val="true"/>
        </w:trPr>
        <w:tc>
          <w:tcPr>
            <w:tcW w:type="dxa" w:w="2700"/>
            <w:tcMar>
              <w:top w:w="80" w:type="dxa"/>
              <w:start w:w="120" w:type="dxa"/>
              <w:bottom w:w="80" w:type="dxa"/>
              <w:end w:w="120" w:type="dxa"/>
            </w:tcMar>
            <w:shd w:fill="F2F4F7"/>
            <w:vAlign w:val="center"/>
          </w:tcPr>
          <w:p>
            <w:pPr>
              <w:spacing w:after="0"/>
            </w:pPr>
            <w:r>
              <w:rPr>
                <w:rFonts w:ascii="Calibri" w:hAnsi="Calibri"/>
                <w:b/>
                <w:color w:val="17365D"/>
                <w:sz w:val="18"/>
              </w:rPr>
              <w:t>Rule</w:t>
            </w:r>
          </w:p>
        </w:tc>
        <w:tc>
          <w:tcPr>
            <w:tcW w:type="dxa" w:w="6660"/>
            <w:tcMar>
              <w:top w:w="80" w:type="dxa"/>
              <w:start w:w="120" w:type="dxa"/>
              <w:bottom w:w="80" w:type="dxa"/>
              <w:end w:w="120" w:type="dxa"/>
            </w:tcMar>
            <w:shd w:fill="F2F4F7"/>
            <w:vAlign w:val="center"/>
          </w:tcPr>
          <w:p>
            <w:pPr>
              <w:spacing w:after="0"/>
            </w:pPr>
            <w:r>
              <w:rPr>
                <w:rFonts w:ascii="Calibri" w:hAnsi="Calibri"/>
                <w:b/>
                <w:color w:val="17365D"/>
                <w:sz w:val="18"/>
              </w:rPr>
              <w:t>Application</w:t>
            </w:r>
          </w:p>
        </w:tc>
      </w:tr>
      <w:tr>
        <w:tc>
          <w:tcPr>
            <w:tcW w:type="dxa" w:w="2700"/>
            <w:vAlign w:val="center"/>
            <w:tcMar>
              <w:top w:w="80" w:type="dxa"/>
              <w:start w:w="120" w:type="dxa"/>
              <w:bottom w:w="80" w:type="dxa"/>
              <w:end w:w="120" w:type="dxa"/>
            </w:tcMar>
          </w:tcPr>
          <w:p>
            <w:pPr>
              <w:spacing w:after="0"/>
            </w:pPr>
            <w:r>
              <w:rPr>
                <w:rFonts w:ascii="Calibri" w:hAnsi="Calibri"/>
                <w:color w:val="20384A"/>
                <w:sz w:val="18"/>
              </w:rPr>
              <w:t>Reporting authority</w:t>
            </w:r>
          </w:p>
        </w:tc>
        <w:tc>
          <w:tcPr>
            <w:tcW w:type="dxa" w:w="6660"/>
            <w:vAlign w:val="center"/>
            <w:tcMar>
              <w:top w:w="80" w:type="dxa"/>
              <w:start w:w="120" w:type="dxa"/>
              <w:bottom w:w="80" w:type="dxa"/>
              <w:end w:w="120" w:type="dxa"/>
            </w:tcMar>
          </w:tcPr>
          <w:p>
            <w:pPr>
              <w:spacing w:after="0"/>
            </w:pPr>
            <w:r>
              <w:rPr>
                <w:rFonts w:ascii="Calibri" w:hAnsi="Calibri"/>
                <w:color w:val="20384A"/>
                <w:sz w:val="18"/>
              </w:rPr>
              <w:t>Recognized accounting Period in YYMM format; complete window 1801-2412</w:t>
            </w:r>
          </w:p>
        </w:tc>
      </w:tr>
      <w:tr>
        <w:tc>
          <w:tcPr>
            <w:tcW w:type="dxa" w:w="2700"/>
            <w:vAlign w:val="center"/>
            <w:tcMar>
              <w:top w:w="80" w:type="dxa"/>
              <w:start w:w="120" w:type="dxa"/>
              <w:bottom w:w="80" w:type="dxa"/>
              <w:end w:w="120" w:type="dxa"/>
            </w:tcMar>
          </w:tcPr>
          <w:p>
            <w:pPr>
              <w:spacing w:after="0"/>
            </w:pPr>
            <w:r>
              <w:rPr>
                <w:rFonts w:ascii="Calibri" w:hAnsi="Calibri"/>
                <w:color w:val="20384A"/>
                <w:sz w:val="18"/>
              </w:rPr>
              <w:t>Historical segment</w:t>
            </w:r>
          </w:p>
        </w:tc>
        <w:tc>
          <w:tcPr>
            <w:tcW w:type="dxa" w:w="6660"/>
            <w:vAlign w:val="center"/>
            <w:tcMar>
              <w:top w:w="80" w:type="dxa"/>
              <w:start w:w="120" w:type="dxa"/>
              <w:bottom w:w="80" w:type="dxa"/>
              <w:end w:w="120" w:type="dxa"/>
            </w:tcMar>
          </w:tcPr>
          <w:p>
            <w:pPr>
              <w:spacing w:after="0"/>
            </w:pPr>
            <w:r>
              <w:rPr>
                <w:rFonts w:ascii="Calibri" w:hAnsi="Calibri"/>
                <w:color w:val="20384A"/>
                <w:sz w:val="18"/>
              </w:rPr>
              <w:t>Customer class recorded on each transaction; current class does not rewrite history</w:t>
            </w:r>
          </w:p>
        </w:tc>
      </w:tr>
      <w:tr>
        <w:tc>
          <w:tcPr>
            <w:tcW w:type="dxa" w:w="2700"/>
            <w:vAlign w:val="center"/>
            <w:tcMar>
              <w:top w:w="80" w:type="dxa"/>
              <w:start w:w="120" w:type="dxa"/>
              <w:bottom w:w="80" w:type="dxa"/>
              <w:end w:w="120" w:type="dxa"/>
            </w:tcMar>
          </w:tcPr>
          <w:p>
            <w:pPr>
              <w:spacing w:after="0"/>
            </w:pPr>
            <w:r>
              <w:rPr>
                <w:rFonts w:ascii="Calibri" w:hAnsi="Calibri"/>
                <w:color w:val="20384A"/>
                <w:sz w:val="18"/>
              </w:rPr>
              <w:t>Gross profit</w:t>
            </w:r>
          </w:p>
        </w:tc>
        <w:tc>
          <w:tcPr>
            <w:tcW w:type="dxa" w:w="6660"/>
            <w:vAlign w:val="center"/>
            <w:tcMar>
              <w:top w:w="80" w:type="dxa"/>
              <w:start w:w="120" w:type="dxa"/>
              <w:bottom w:w="80" w:type="dxa"/>
              <w:end w:w="120" w:type="dxa"/>
            </w:tcMar>
          </w:tcPr>
          <w:p>
            <w:pPr>
              <w:spacing w:after="0"/>
            </w:pPr>
            <w:r>
              <w:rPr>
                <w:rFonts w:ascii="Calibri" w:hAnsi="Calibri"/>
                <w:color w:val="20384A"/>
                <w:sz w:val="18"/>
              </w:rPr>
              <w:t>SUM(Sales) - SUM(Cost); aggregate margin equals gross profit divided by revenue</w:t>
            </w:r>
          </w:p>
        </w:tc>
      </w:tr>
      <w:tr>
        <w:tc>
          <w:tcPr>
            <w:tcW w:type="dxa" w:w="2700"/>
            <w:vAlign w:val="center"/>
            <w:tcMar>
              <w:top w:w="80" w:type="dxa"/>
              <w:start w:w="120" w:type="dxa"/>
              <w:bottom w:w="80" w:type="dxa"/>
              <w:end w:w="120" w:type="dxa"/>
            </w:tcMar>
          </w:tcPr>
          <w:p>
            <w:pPr>
              <w:spacing w:after="0"/>
            </w:pPr>
            <w:r>
              <w:rPr>
                <w:rFonts w:ascii="Calibri" w:hAnsi="Calibri"/>
                <w:color w:val="20384A"/>
                <w:sz w:val="18"/>
              </w:rPr>
              <w:t>Activity definition</w:t>
            </w:r>
          </w:p>
        </w:tc>
        <w:tc>
          <w:tcPr>
            <w:tcW w:type="dxa" w:w="6660"/>
            <w:vAlign w:val="center"/>
            <w:tcMar>
              <w:top w:w="80" w:type="dxa"/>
              <w:start w:w="120" w:type="dxa"/>
              <w:bottom w:w="80" w:type="dxa"/>
              <w:end w:w="120" w:type="dxa"/>
            </w:tcMar>
          </w:tcPr>
          <w:p>
            <w:pPr>
              <w:spacing w:after="0"/>
            </w:pPr>
            <w:r>
              <w:rPr>
                <w:rFonts w:ascii="Calibri" w:hAnsi="Calibri"/>
                <w:color w:val="20384A"/>
                <w:sz w:val="18"/>
              </w:rPr>
              <w:t>Positive sales reset the lifecycle clock; credits and returns do not</w:t>
            </w:r>
          </w:p>
        </w:tc>
      </w:tr>
      <w:tr>
        <w:tc>
          <w:tcPr>
            <w:tcW w:type="dxa" w:w="2700"/>
            <w:vAlign w:val="center"/>
            <w:tcMar>
              <w:top w:w="80" w:type="dxa"/>
              <w:start w:w="120" w:type="dxa"/>
              <w:bottom w:w="80" w:type="dxa"/>
              <w:end w:w="120" w:type="dxa"/>
            </w:tcMar>
          </w:tcPr>
          <w:p>
            <w:pPr>
              <w:spacing w:after="0"/>
            </w:pPr>
            <w:r>
              <w:rPr>
                <w:rFonts w:ascii="Calibri" w:hAnsi="Calibri"/>
                <w:color w:val="20384A"/>
                <w:sz w:val="18"/>
              </w:rPr>
              <w:t>Revenue at risk</w:t>
            </w:r>
          </w:p>
        </w:tc>
        <w:tc>
          <w:tcPr>
            <w:tcW w:type="dxa" w:w="6660"/>
            <w:vAlign w:val="center"/>
            <w:tcMar>
              <w:top w:w="80" w:type="dxa"/>
              <w:start w:w="120" w:type="dxa"/>
              <w:bottom w:w="80" w:type="dxa"/>
              <w:end w:w="120" w:type="dxa"/>
            </w:tcMar>
          </w:tcPr>
          <w:p>
            <w:pPr>
              <w:spacing w:after="0"/>
            </w:pPr>
            <w:r>
              <w:rPr>
                <w:rFonts w:ascii="Calibri" w:hAnsi="Calibri"/>
                <w:color w:val="20384A"/>
                <w:sz w:val="18"/>
              </w:rPr>
              <w:t>Net revenue in the 12 periods ending with last positive sale, floored at zero, for non-active customers</w:t>
            </w:r>
          </w:p>
        </w:tc>
      </w:tr>
      <w:tr>
        <w:tc>
          <w:tcPr>
            <w:tcW w:type="dxa" w:w="2700"/>
            <w:vAlign w:val="center"/>
            <w:tcMar>
              <w:top w:w="80" w:type="dxa"/>
              <w:start w:w="120" w:type="dxa"/>
              <w:bottom w:w="80" w:type="dxa"/>
              <w:end w:w="120" w:type="dxa"/>
            </w:tcMar>
          </w:tcPr>
          <w:p>
            <w:pPr>
              <w:spacing w:after="0"/>
            </w:pPr>
            <w:r>
              <w:rPr>
                <w:rFonts w:ascii="Calibri" w:hAnsi="Calibri"/>
                <w:color w:val="20384A"/>
                <w:sz w:val="18"/>
              </w:rPr>
              <w:t>Ledger treatment</w:t>
            </w:r>
          </w:p>
        </w:tc>
        <w:tc>
          <w:tcPr>
            <w:tcW w:type="dxa" w:w="6660"/>
            <w:vAlign w:val="center"/>
            <w:tcMar>
              <w:top w:w="80" w:type="dxa"/>
              <w:start w:w="120" w:type="dxa"/>
              <w:bottom w:w="80" w:type="dxa"/>
              <w:end w:w="120" w:type="dxa"/>
            </w:tcMar>
          </w:tcPr>
          <w:p>
            <w:pPr>
              <w:spacing w:after="0"/>
            </w:pPr>
            <w:r>
              <w:rPr>
                <w:rFonts w:ascii="Calibri" w:hAnsi="Calibri"/>
                <w:color w:val="20384A"/>
                <w:sz w:val="18"/>
              </w:rPr>
              <w:t>Returns, credits, financial edge cases, and duplicate candidates are retained and flagged</w:t>
            </w:r>
          </w:p>
        </w:tc>
      </w:tr>
    </w:tbl>
    <w:p>
      <w:pPr>
        <w:pStyle w:val="Heading2"/>
        <w:keepNext/>
      </w:pPr>
      <w:r>
        <w:t>Important limitations</w:t>
      </w:r>
    </w:p>
    <w:p>
      <w:pPr>
        <w:keepLines/>
      </w:pPr>
      <w:r>
        <w:rPr>
          <w:rFonts w:ascii="Calibri" w:hAnsi="Calibri"/>
          <w:color w:val="20384A"/>
          <w:sz w:val="22"/>
        </w:rPr>
        <w:t>The analysis is descriptive and ends in December 2024. Gross profit excludes operating expenses. Historical segment comparisons include reclassification effects. Inactivity is not confirmed churn, and the revenue-at-risk baseline is not expected future revenue, lifetime value, or forecast loss. Product, market, pricing, service-level, and sales-activity data are not available to establish causal drivers.</w:t>
      </w:r>
    </w:p>
    <w:p>
      <w:pPr>
        <w:pStyle w:val="Heading2"/>
        <w:keepNext/>
      </w:pPr>
      <w:r>
        <w:t>Reproduce the work</w:t>
      </w:r>
    </w:p>
    <w:p>
      <w:pPr>
        <w:keepLines/>
      </w:pPr>
      <w:r>
        <w:rPr>
          <w:rFonts w:ascii="Calibri" w:hAnsi="Calibri"/>
          <w:color w:val="20384A"/>
          <w:sz w:val="22"/>
        </w:rPr>
        <w:t>The repository contains the final question sheet, all seven anonymized and scaled annual transaction files, portable ingestion scripts, SQL for every analysis, validation checks, compact CSV outputs, and documentation for rebuilding the local SQLite database. The included files can be verified with the published checksum manifest.</w:t>
      </w:r>
    </w:p>
    <w:p>
      <w:pPr>
        <w:spacing w:before="80"/>
      </w:pPr>
      <w:r>
        <w:rPr>
          <w:rFonts w:ascii="Calibri" w:hAnsi="Calibri"/>
          <w:b/>
          <w:color w:val="20384A"/>
          <w:sz w:val="22"/>
        </w:rPr>
        <w:t xml:space="preserve">Repository: </w:t>
      </w:r>
      <w:hyperlink r:id="rId15">
        <w:r>
          <w:rPr>
            <w:color w:val="2E74B5"/>
            <w:u w:val="single"/>
          </w:rPr>
          <w:t>Distributor Company Case Study on GitHub</w:t>
        </w:r>
      </w:hyperlink>
    </w:p>
    <w:p>
      <w:pPr>
        <w:keepLines/>
      </w:pPr>
      <w:r>
        <w:rPr>
          <w:rFonts w:ascii="Calibri" w:hAnsi="Calibri"/>
          <w:color w:val="20384A"/>
          <w:sz w:val="22"/>
        </w:rPr>
        <w:t>Rebuild sequence: normalize UTF-8 encoding, prepare reference data, build the final SQLite database, run the validation suite, and execute the question-level analysis scripts. The companion Excel workbook provides a compact reviewer path without attempting to place the 3.7-million-row fact table into a worksheet.</w:t>
      </w:r>
    </w:p>
    <w:p>
      <w:pPr>
        <w:spacing w:before="80" w:after="160"/>
        <w:ind w:left="173" w:right="173"/>
        <w:shd w:fill="D9EAF7"/>
        <w:pBdr>
          <w:left w:val="single" w:sz="18" w:space="8" w:color="2E74B5"/>
        </w:pBdr>
      </w:pPr>
      <w:r>
        <w:rPr>
          <w:rFonts w:ascii="Calibri" w:hAnsi="Calibri"/>
          <w:b/>
          <w:color w:val="17365D"/>
          <w:sz w:val="22"/>
        </w:rPr>
        <w:t>Conclusion: The company’s growth history is economically healthy. The highest-value next step is to manage revenue quality explicitly—protecting the profitable core, improving scale economics, and focusing retention effort on the accounts most worth recovering.</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7184"/>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07184"/>
        <w:sz w:val="17"/>
      </w:rPr>
      <w:t>REVENUE QUALITY &amp; CUSTOMER PROFITABILITY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38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60718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github.com/GlassHouse97/Distributor-Company-Case-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Revenue Quality &amp; Customer Profitability Case Study</dc:title>
  <dc:subject>Portfolio case study analyzing growth, profitability, concentration, and retention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