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AF89B3" w14:textId="15F7593C" w:rsidR="00536805" w:rsidRDefault="00661474" w:rsidP="004E2A6E">
      <w:r>
        <w:t>The selected use case involves economic, power, energy, voltage and control actuation metrics. Overloads</w:t>
      </w:r>
      <w:r w:rsidR="00756B4C">
        <w:t xml:space="preserve">, outages and frequency deviations </w:t>
      </w:r>
      <w:r w:rsidR="00E87452">
        <w:t xml:space="preserve">won’t occur in the use case as defined, but those teams exploring microgrid extensions may propose supplemental metrics in those areas. </w:t>
      </w:r>
      <w:r w:rsidR="00536805">
        <w:t xml:space="preserve">General and specific requirements for the base metrics are listed below; the PNNL </w:t>
      </w:r>
      <w:proofErr w:type="spellStart"/>
      <w:r w:rsidR="00536805">
        <w:t>Transactive</w:t>
      </w:r>
      <w:proofErr w:type="spellEnd"/>
      <w:r w:rsidR="00536805">
        <w:t xml:space="preserve"> Energy Simulation Platform satisfies all of them.</w:t>
      </w:r>
    </w:p>
    <w:p w14:paraId="70A954C0" w14:textId="77777777" w:rsidR="00536805" w:rsidRDefault="00536805" w:rsidP="004E2A6E">
      <w:r>
        <w:t>General requirements:</w:t>
      </w:r>
    </w:p>
    <w:p w14:paraId="21C3C8FD" w14:textId="6EF244E2" w:rsidR="004E2A6E" w:rsidRDefault="00536805" w:rsidP="00536805">
      <w:pPr>
        <w:pStyle w:val="ListParagraph"/>
        <w:numPr>
          <w:ilvl w:val="0"/>
          <w:numId w:val="23"/>
        </w:numPr>
      </w:pPr>
      <w:r>
        <w:t>Saved in a text format, JSON (preferred) or CSV</w:t>
      </w:r>
    </w:p>
    <w:p w14:paraId="7F72383A" w14:textId="2665FC35" w:rsidR="00536805" w:rsidRDefault="00536805" w:rsidP="00536805">
      <w:pPr>
        <w:pStyle w:val="ListParagraph"/>
        <w:numPr>
          <w:ilvl w:val="0"/>
          <w:numId w:val="23"/>
        </w:numPr>
      </w:pPr>
      <w:r>
        <w:t>Adjustable metrics interval, defaulting to 1 minute</w:t>
      </w:r>
    </w:p>
    <w:p w14:paraId="71628DC9" w14:textId="36D21970" w:rsidR="00645B51" w:rsidRDefault="00645B51" w:rsidP="00536805">
      <w:pPr>
        <w:pStyle w:val="ListParagraph"/>
        <w:numPr>
          <w:ilvl w:val="0"/>
          <w:numId w:val="23"/>
        </w:numPr>
      </w:pPr>
      <w:r>
        <w:t>If the simulation time step is shorter than the metrics interval, include minimum, maximum and average values within each metrics interval</w:t>
      </w:r>
      <w:r w:rsidR="004D0230">
        <w:t>. Integrated metrics (e.g. energy) are an exception</w:t>
      </w:r>
    </w:p>
    <w:p w14:paraId="255E1C07" w14:textId="4A674FE6" w:rsidR="00536805" w:rsidRDefault="00536805" w:rsidP="00536805">
      <w:pPr>
        <w:pStyle w:val="ListParagraph"/>
        <w:numPr>
          <w:ilvl w:val="0"/>
          <w:numId w:val="23"/>
        </w:numPr>
      </w:pPr>
      <w:r>
        <w:t>Option to save all power flow data to CSV files, by manually inserting recorder statements in the GridLAB-D input file</w:t>
      </w:r>
    </w:p>
    <w:p w14:paraId="787111CE" w14:textId="3F6CE0D5" w:rsidR="00536805" w:rsidRDefault="00536805" w:rsidP="00536805">
      <w:pPr>
        <w:pStyle w:val="ListParagraph"/>
        <w:numPr>
          <w:ilvl w:val="0"/>
          <w:numId w:val="23"/>
        </w:numPr>
      </w:pPr>
      <w:r>
        <w:t>Able to separate solar, battery and load metrics at the same meter</w:t>
      </w:r>
    </w:p>
    <w:p w14:paraId="1D0AB921" w14:textId="6EC01803" w:rsidR="00536805" w:rsidRDefault="00536805" w:rsidP="00536805">
      <w:pPr>
        <w:pStyle w:val="ListParagraph"/>
        <w:numPr>
          <w:ilvl w:val="0"/>
          <w:numId w:val="23"/>
        </w:numPr>
      </w:pPr>
      <w:r>
        <w:t>No time aggregation, as the use case covers a single day of operation</w:t>
      </w:r>
    </w:p>
    <w:p w14:paraId="6C2BED9D" w14:textId="019C488E" w:rsidR="00536805" w:rsidRDefault="00536805" w:rsidP="00536805">
      <w:pPr>
        <w:pStyle w:val="ListParagraph"/>
        <w:numPr>
          <w:ilvl w:val="0"/>
          <w:numId w:val="23"/>
        </w:numPr>
      </w:pPr>
      <w:r>
        <w:t>Each metric should be associated to specific model components through metadata</w:t>
      </w:r>
    </w:p>
    <w:p w14:paraId="6F025FFC" w14:textId="1A19D5CE" w:rsidR="004E2A6E" w:rsidRDefault="00536805" w:rsidP="00536805">
      <w:r>
        <w:t>Specific requirements for base metrics to include in the output:</w:t>
      </w:r>
    </w:p>
    <w:p w14:paraId="1624F451" w14:textId="59E1846F" w:rsidR="00536805" w:rsidRDefault="00536805" w:rsidP="004E2A6E">
      <w:pPr>
        <w:pStyle w:val="ListParagraph"/>
        <w:numPr>
          <w:ilvl w:val="0"/>
          <w:numId w:val="2"/>
        </w:numPr>
      </w:pPr>
      <w:r>
        <w:t>Economic</w:t>
      </w:r>
    </w:p>
    <w:p w14:paraId="3BA27DA7" w14:textId="2B8FAF0C" w:rsidR="00536805" w:rsidRDefault="00536805" w:rsidP="00536805">
      <w:pPr>
        <w:pStyle w:val="ListParagraph"/>
        <w:numPr>
          <w:ilvl w:val="1"/>
          <w:numId w:val="2"/>
        </w:numPr>
      </w:pPr>
      <w:r>
        <w:t>Wholesale price (defaults to the input LMP player file)</w:t>
      </w:r>
    </w:p>
    <w:p w14:paraId="386B4170" w14:textId="0B2D16A5" w:rsidR="004F405C" w:rsidRDefault="004F405C" w:rsidP="00536805">
      <w:pPr>
        <w:pStyle w:val="ListParagraph"/>
        <w:numPr>
          <w:ilvl w:val="1"/>
          <w:numId w:val="2"/>
        </w:numPr>
      </w:pPr>
      <w:r>
        <w:t>Cleared price</w:t>
      </w:r>
      <w:r w:rsidR="004F0D3A">
        <w:t xml:space="preserve"> on the feeder</w:t>
      </w:r>
    </w:p>
    <w:p w14:paraId="423B3826" w14:textId="7F739A72" w:rsidR="00536805" w:rsidRDefault="00536805" w:rsidP="00536805">
      <w:pPr>
        <w:pStyle w:val="ListParagraph"/>
        <w:numPr>
          <w:ilvl w:val="1"/>
          <w:numId w:val="2"/>
        </w:numPr>
      </w:pPr>
      <w:r>
        <w:t xml:space="preserve">Price, quantity, </w:t>
      </w:r>
      <w:r w:rsidR="004F0D3A">
        <w:t>and status (accepted, not accepted) for each bid</w:t>
      </w:r>
    </w:p>
    <w:p w14:paraId="3FB7FE09" w14:textId="08000895" w:rsidR="00536805" w:rsidRDefault="00536805" w:rsidP="00536805">
      <w:pPr>
        <w:pStyle w:val="ListParagraph"/>
        <w:numPr>
          <w:ilvl w:val="1"/>
          <w:numId w:val="2"/>
        </w:numPr>
      </w:pPr>
      <w:r>
        <w:t>Revenue at each meter,</w:t>
      </w:r>
      <w:r w:rsidR="006B3F8D">
        <w:t xml:space="preserve"> separable by </w:t>
      </w:r>
      <w:r>
        <w:t>load and resource</w:t>
      </w:r>
      <w:r w:rsidR="006B3F8D">
        <w:t>, see 4.e.m below</w:t>
      </w:r>
    </w:p>
    <w:p w14:paraId="49292ABA" w14:textId="02B22326" w:rsidR="004E2A6E" w:rsidRDefault="00536805" w:rsidP="004E2A6E">
      <w:pPr>
        <w:pStyle w:val="ListParagraph"/>
        <w:numPr>
          <w:ilvl w:val="0"/>
          <w:numId w:val="2"/>
        </w:numPr>
      </w:pPr>
      <w:r>
        <w:t>Substation</w:t>
      </w:r>
    </w:p>
    <w:p w14:paraId="06FB1371" w14:textId="6222314C" w:rsidR="00536805" w:rsidRDefault="00536805" w:rsidP="00536805">
      <w:pPr>
        <w:pStyle w:val="ListParagraph"/>
        <w:numPr>
          <w:ilvl w:val="1"/>
          <w:numId w:val="2"/>
        </w:numPr>
      </w:pPr>
      <w:r>
        <w:t>Real and reactive power</w:t>
      </w:r>
    </w:p>
    <w:p w14:paraId="69259717" w14:textId="6B3B332E" w:rsidR="00536805" w:rsidRDefault="00536805" w:rsidP="00536805">
      <w:pPr>
        <w:pStyle w:val="ListParagraph"/>
        <w:numPr>
          <w:ilvl w:val="1"/>
          <w:numId w:val="2"/>
        </w:numPr>
      </w:pPr>
      <w:r>
        <w:t>Real and reactive energy</w:t>
      </w:r>
    </w:p>
    <w:p w14:paraId="54CA2D5D" w14:textId="57FC4669" w:rsidR="00536805" w:rsidRDefault="00536805" w:rsidP="00536805">
      <w:pPr>
        <w:pStyle w:val="ListParagraph"/>
        <w:numPr>
          <w:ilvl w:val="1"/>
          <w:numId w:val="2"/>
        </w:numPr>
      </w:pPr>
      <w:r>
        <w:t>Real and reactive losses</w:t>
      </w:r>
    </w:p>
    <w:p w14:paraId="3CDC95A8" w14:textId="47A08A77" w:rsidR="00536805" w:rsidRDefault="000977C6" w:rsidP="004E2A6E">
      <w:pPr>
        <w:pStyle w:val="ListParagraph"/>
        <w:numPr>
          <w:ilvl w:val="0"/>
          <w:numId w:val="2"/>
        </w:numPr>
      </w:pPr>
      <w:r>
        <w:t>At each f</w:t>
      </w:r>
      <w:r w:rsidR="00536805">
        <w:t xml:space="preserve">eeder capacitor </w:t>
      </w:r>
      <w:r>
        <w:t>bank and voltage regulator</w:t>
      </w:r>
    </w:p>
    <w:p w14:paraId="4B58F5DD" w14:textId="0F85AC05" w:rsidR="004E2A6E" w:rsidRDefault="00536805" w:rsidP="00536805">
      <w:pPr>
        <w:pStyle w:val="ListParagraph"/>
        <w:numPr>
          <w:ilvl w:val="1"/>
          <w:numId w:val="2"/>
        </w:numPr>
      </w:pPr>
      <w:r>
        <w:t>Count of control actuations</w:t>
      </w:r>
    </w:p>
    <w:p w14:paraId="269C4F4B" w14:textId="29D2996F" w:rsidR="004E2A6E" w:rsidRDefault="00B059BC" w:rsidP="004E2A6E">
      <w:pPr>
        <w:pStyle w:val="ListParagraph"/>
        <w:numPr>
          <w:ilvl w:val="0"/>
          <w:numId w:val="2"/>
        </w:numPr>
      </w:pPr>
      <w:r>
        <w:t>At each meter</w:t>
      </w:r>
      <w:r w:rsidR="00D851FD">
        <w:t xml:space="preserve"> (i.e. house)</w:t>
      </w:r>
    </w:p>
    <w:p w14:paraId="0474984F" w14:textId="7F9F2C2F" w:rsidR="00B059BC" w:rsidRDefault="00B059BC" w:rsidP="00B059BC">
      <w:pPr>
        <w:pStyle w:val="ListParagraph"/>
        <w:numPr>
          <w:ilvl w:val="1"/>
          <w:numId w:val="2"/>
        </w:numPr>
      </w:pPr>
      <w:r>
        <w:t>Voltage magnitude, line-to-neutral, averaged over all phases</w:t>
      </w:r>
    </w:p>
    <w:p w14:paraId="31680BF3" w14:textId="7CA11431" w:rsidR="00B059BC" w:rsidRDefault="00B059BC" w:rsidP="00B059BC">
      <w:pPr>
        <w:pStyle w:val="ListParagraph"/>
        <w:numPr>
          <w:ilvl w:val="1"/>
          <w:numId w:val="2"/>
        </w:numPr>
      </w:pPr>
      <w:r>
        <w:t>Voltage magnitude, line-to-line, averaged over all phases</w:t>
      </w:r>
      <w:r w:rsidR="00450B77">
        <w:rPr>
          <w:rStyle w:val="FootnoteReference"/>
        </w:rPr>
        <w:footnoteReference w:id="1"/>
      </w:r>
    </w:p>
    <w:p w14:paraId="5840E259" w14:textId="0641B610" w:rsidR="00B059BC" w:rsidRDefault="00B059BC" w:rsidP="00B059BC">
      <w:pPr>
        <w:pStyle w:val="ListParagraph"/>
        <w:numPr>
          <w:ilvl w:val="1"/>
          <w:numId w:val="2"/>
        </w:numPr>
      </w:pPr>
      <w:r>
        <w:t xml:space="preserve">For three-phase loads only, line-to-line voltage unbalance as defined in ANSI C84.1: </w:t>
      </w:r>
      <m:oMath>
        <m:r>
          <w:rPr>
            <w:rFonts w:ascii="Cambria Math" w:hAnsi="Cambria Math"/>
          </w:rPr>
          <m:t>100</m:t>
        </m:r>
        <m:f>
          <m:fPr>
            <m:type m:val="lin"/>
            <m:ctrlPr>
              <w:rPr>
                <w:rFonts w:ascii="Cambria Math" w:hAnsi="Cambria Math"/>
                <w:i/>
              </w:rPr>
            </m:ctrlPr>
          </m:fPr>
          <m:num>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p=</m:t>
                    </m:r>
                    <w:proofErr w:type="gramStart"/>
                    <m:r>
                      <w:rPr>
                        <w:rFonts w:ascii="Cambria Math" w:hAnsi="Cambria Math"/>
                      </w:rPr>
                      <m:t>1..</m:t>
                    </m:r>
                    <w:proofErr w:type="gramEnd"/>
                    <m:r>
                      <w:rPr>
                        <w:rFonts w:ascii="Cambria Math" w:hAnsi="Cambria Math"/>
                      </w:rPr>
                      <m:t>3</m:t>
                    </m:r>
                  </m:lim>
                </m:limLow>
              </m:fName>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avg</m:t>
                    </m:r>
                  </m:sub>
                </m:sSub>
                <m:r>
                  <w:rPr>
                    <w:rFonts w:ascii="Cambria Math" w:hAnsi="Cambria Math"/>
                  </w:rPr>
                  <m:t>|</m:t>
                </m:r>
                <m:r>
                  <w:rPr>
                    <w:rFonts w:ascii="Cambria Math" w:hAnsi="Cambria Math"/>
                  </w:rPr>
                  <m:t>)</m:t>
                </m:r>
              </m:e>
            </m:func>
          </m:num>
          <m:den>
            <m:sSub>
              <m:sSubPr>
                <m:ctrlPr>
                  <w:rPr>
                    <w:rFonts w:ascii="Cambria Math" w:hAnsi="Cambria Math"/>
                    <w:i/>
                  </w:rPr>
                </m:ctrlPr>
              </m:sSubPr>
              <m:e>
                <m:r>
                  <w:rPr>
                    <w:rFonts w:ascii="Cambria Math" w:hAnsi="Cambria Math"/>
                  </w:rPr>
                  <m:t>V</m:t>
                </m:r>
              </m:e>
              <m:sub>
                <m:r>
                  <w:rPr>
                    <w:rFonts w:ascii="Cambria Math" w:hAnsi="Cambria Math"/>
                  </w:rPr>
                  <m:t>avg</m:t>
                </m:r>
              </m:sub>
            </m:sSub>
          </m:den>
        </m:f>
      </m:oMath>
      <w:r>
        <w:t xml:space="preserve"> [%]</w:t>
      </w:r>
    </w:p>
    <w:p w14:paraId="3C5C8116" w14:textId="26DB082C" w:rsidR="00B059BC" w:rsidRDefault="00B059BC" w:rsidP="00B059BC">
      <w:pPr>
        <w:pStyle w:val="ListParagraph"/>
        <w:numPr>
          <w:ilvl w:val="1"/>
          <w:numId w:val="2"/>
        </w:numPr>
      </w:pPr>
      <w:r>
        <w:t xml:space="preserve">Severity index for the fluctuation in </w:t>
      </w:r>
      <w:proofErr w:type="spellStart"/>
      <w:r>
        <w:rPr>
          <w:i/>
        </w:rPr>
        <w:t>V</w:t>
      </w:r>
      <w:r w:rsidRPr="00B059BC">
        <w:rPr>
          <w:i/>
          <w:vertAlign w:val="subscript"/>
        </w:rPr>
        <w:t>avg</w:t>
      </w:r>
      <w:proofErr w:type="spellEnd"/>
      <w:r>
        <w:t xml:space="preserve"> on per-unit basis at uniform time step. </w:t>
      </w:r>
      <w:proofErr w:type="gramStart"/>
      <w:r>
        <w:t>Similar to</w:t>
      </w:r>
      <w:proofErr w:type="gramEnd"/>
      <w:r>
        <w:t xml:space="preserve"> an L2 norm; </w:t>
      </w:r>
      <m:oMath>
        <m:r>
          <w:rPr>
            <w:rFonts w:ascii="Cambria Math" w:hAnsi="Cambria Math"/>
          </w:rPr>
          <m:t>SI=</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e>
                    </m:d>
                  </m:e>
                  <m:sup>
                    <m:r>
                      <w:rPr>
                        <w:rFonts w:ascii="Cambria Math" w:hAnsi="Cambria Math"/>
                      </w:rPr>
                      <m:t>2</m:t>
                    </m:r>
                  </m:sup>
                </m:sSup>
                <m:r>
                  <w:rPr>
                    <w:rFonts w:ascii="Cambria Math" w:hAnsi="Cambria Math"/>
                  </w:rPr>
                  <m:t>+1</m:t>
                </m:r>
              </m:e>
            </m:rad>
          </m:e>
        </m:nary>
      </m:oMath>
      <w:r>
        <w:t xml:space="preserve"> </w:t>
      </w:r>
      <w:r w:rsidR="007808F9">
        <w:t xml:space="preserve">. This </w:t>
      </w:r>
      <w:r w:rsidR="00E36FEA">
        <w:t xml:space="preserve">metric </w:t>
      </w:r>
      <w:r>
        <w:t xml:space="preserve">has </w:t>
      </w:r>
      <w:r w:rsidR="007808F9">
        <w:t xml:space="preserve">also </w:t>
      </w:r>
      <w:r>
        <w:t>been used to quantify fluctuations in solar irradiance</w:t>
      </w:r>
      <w:r w:rsidR="00E36FEA">
        <w:t xml:space="preserve">. </w:t>
      </w:r>
      <w:r w:rsidR="007935A8">
        <w:t>IEEE Std. 1453</w:t>
      </w:r>
      <w:r>
        <w:t xml:space="preserve"> </w:t>
      </w:r>
      <w:r w:rsidR="00E36FEA">
        <w:t>is less applicable</w:t>
      </w:r>
      <w:r>
        <w:t xml:space="preserve"> because cloud-induced fluctuations are generally too slow</w:t>
      </w:r>
      <w:r w:rsidR="00E36FEA">
        <w:t>.</w:t>
      </w:r>
    </w:p>
    <w:p w14:paraId="271F8420" w14:textId="6FE51026" w:rsidR="00C14689" w:rsidRDefault="001A3FF2" w:rsidP="00B059BC">
      <w:pPr>
        <w:pStyle w:val="ListParagraph"/>
        <w:numPr>
          <w:ilvl w:val="1"/>
          <w:numId w:val="2"/>
        </w:numPr>
      </w:pPr>
      <w:r>
        <w:lastRenderedPageBreak/>
        <w:t>Violations of ANSI C84.1 voltage limits</w:t>
      </w:r>
      <w:r w:rsidR="00D77548">
        <w:t xml:space="preserve"> at the meter. The duration of time in each range should be accumulated. An event count occurs when the voltage transitions from normal to A Range, or from A Range to B Range.</w:t>
      </w:r>
    </w:p>
    <w:p w14:paraId="0D5F8C04" w14:textId="7E76EBC4" w:rsidR="00D77548" w:rsidRDefault="00D77548" w:rsidP="00D77548">
      <w:pPr>
        <w:pStyle w:val="ListParagraph"/>
        <w:numPr>
          <w:ilvl w:val="2"/>
          <w:numId w:val="2"/>
        </w:numPr>
      </w:pPr>
      <w:r>
        <w:t>Total duration and event counts below 110 V (B Range)</w:t>
      </w:r>
    </w:p>
    <w:p w14:paraId="6B82CA43" w14:textId="3C628E62" w:rsidR="00D77548" w:rsidRDefault="00D77548" w:rsidP="00D77548">
      <w:pPr>
        <w:pStyle w:val="ListParagraph"/>
        <w:numPr>
          <w:ilvl w:val="2"/>
          <w:numId w:val="2"/>
        </w:numPr>
      </w:pPr>
      <w:r>
        <w:t>Total duration and event counts below 114 V (A Range)</w:t>
      </w:r>
    </w:p>
    <w:p w14:paraId="2BFD07FD" w14:textId="4C7FC636" w:rsidR="00D77548" w:rsidRDefault="00D77548" w:rsidP="00D77548">
      <w:pPr>
        <w:pStyle w:val="ListParagraph"/>
        <w:numPr>
          <w:ilvl w:val="2"/>
          <w:numId w:val="2"/>
        </w:numPr>
      </w:pPr>
      <w:r>
        <w:t>Total duration and event</w:t>
      </w:r>
      <w:r>
        <w:t xml:space="preserve"> counts above</w:t>
      </w:r>
      <w:r>
        <w:t xml:space="preserve"> </w:t>
      </w:r>
      <w:r>
        <w:t>126</w:t>
      </w:r>
      <w:r>
        <w:t xml:space="preserve"> V (A Range)</w:t>
      </w:r>
    </w:p>
    <w:p w14:paraId="6C7C027F" w14:textId="6253416D" w:rsidR="00D77548" w:rsidRDefault="00D77548" w:rsidP="00D77548">
      <w:pPr>
        <w:pStyle w:val="ListParagraph"/>
        <w:numPr>
          <w:ilvl w:val="2"/>
          <w:numId w:val="2"/>
        </w:numPr>
      </w:pPr>
      <w:r>
        <w:t>Total duration and event counts above 12</w:t>
      </w:r>
      <w:r>
        <w:t>7 V (B</w:t>
      </w:r>
      <w:r>
        <w:t xml:space="preserve"> Range)</w:t>
      </w:r>
    </w:p>
    <w:p w14:paraId="3FBCF211" w14:textId="095B93FA" w:rsidR="008B5D4E" w:rsidRDefault="008B5D4E" w:rsidP="00D77548">
      <w:pPr>
        <w:pStyle w:val="ListParagraph"/>
        <w:numPr>
          <w:ilvl w:val="2"/>
          <w:numId w:val="2"/>
        </w:numPr>
      </w:pPr>
      <w:r>
        <w:t>Total duration and event counts below 10 V (Outage; none expected)</w:t>
      </w:r>
    </w:p>
    <w:p w14:paraId="19489D23" w14:textId="16E2C7B3" w:rsidR="008B5D4E" w:rsidRDefault="008B5D4E" w:rsidP="008B5D4E">
      <w:pPr>
        <w:pStyle w:val="ListParagraph"/>
        <w:numPr>
          <w:ilvl w:val="1"/>
          <w:numId w:val="2"/>
        </w:numPr>
      </w:pPr>
      <w:r>
        <w:t>Total house load</w:t>
      </w:r>
      <w:r w:rsidR="00D851FD">
        <w:t xml:space="preserve"> (real power)</w:t>
      </w:r>
    </w:p>
    <w:p w14:paraId="363D1845" w14:textId="2174BF7C" w:rsidR="008B5D4E" w:rsidRDefault="008B5D4E" w:rsidP="008B5D4E">
      <w:pPr>
        <w:pStyle w:val="ListParagraph"/>
        <w:numPr>
          <w:ilvl w:val="1"/>
          <w:numId w:val="2"/>
        </w:numPr>
      </w:pPr>
      <w:r>
        <w:t>Total HVAC load</w:t>
      </w:r>
      <w:r w:rsidR="00D851FD">
        <w:t xml:space="preserve"> (real power)</w:t>
      </w:r>
    </w:p>
    <w:p w14:paraId="60D8F21F" w14:textId="7246CEB4" w:rsidR="008B5D4E" w:rsidRDefault="008B5D4E" w:rsidP="008B5D4E">
      <w:pPr>
        <w:pStyle w:val="ListParagraph"/>
        <w:numPr>
          <w:ilvl w:val="1"/>
          <w:numId w:val="2"/>
        </w:numPr>
      </w:pPr>
      <w:r>
        <w:t>Total water heater load</w:t>
      </w:r>
      <w:r w:rsidR="00D851FD">
        <w:t xml:space="preserve"> (real power)</w:t>
      </w:r>
    </w:p>
    <w:p w14:paraId="4D039395" w14:textId="51BA49D0" w:rsidR="008B5D4E" w:rsidRDefault="008B5D4E" w:rsidP="008B5D4E">
      <w:pPr>
        <w:pStyle w:val="ListParagraph"/>
        <w:numPr>
          <w:ilvl w:val="1"/>
          <w:numId w:val="2"/>
        </w:numPr>
      </w:pPr>
      <w:r>
        <w:t>Solar inverter real and reactive power</w:t>
      </w:r>
    </w:p>
    <w:p w14:paraId="78BBA51D" w14:textId="72AE8933" w:rsidR="008B5D4E" w:rsidRDefault="008B5D4E" w:rsidP="008B5D4E">
      <w:pPr>
        <w:pStyle w:val="ListParagraph"/>
        <w:numPr>
          <w:ilvl w:val="1"/>
          <w:numId w:val="2"/>
        </w:numPr>
      </w:pPr>
      <w:r>
        <w:t>Battery inverter real and reactive power</w:t>
      </w:r>
    </w:p>
    <w:p w14:paraId="1513D4BA" w14:textId="332AF44B" w:rsidR="00D851FD" w:rsidRDefault="00D851FD" w:rsidP="008B5D4E">
      <w:pPr>
        <w:pStyle w:val="ListParagraph"/>
        <w:numPr>
          <w:ilvl w:val="1"/>
          <w:numId w:val="2"/>
        </w:numPr>
      </w:pPr>
      <w:r>
        <w:t>House air temperature, and its deviation from scheduled set point</w:t>
      </w:r>
    </w:p>
    <w:p w14:paraId="5E231175" w14:textId="73AD1923" w:rsidR="00D851FD" w:rsidRDefault="00D851FD" w:rsidP="008B5D4E">
      <w:pPr>
        <w:pStyle w:val="ListParagraph"/>
        <w:numPr>
          <w:ilvl w:val="1"/>
          <w:numId w:val="2"/>
        </w:numPr>
      </w:pPr>
      <w:r>
        <w:t xml:space="preserve">Water </w:t>
      </w:r>
      <w:r w:rsidR="00FC34E5">
        <w:t xml:space="preserve">heater </w:t>
      </w:r>
      <w:r>
        <w:t>temperature, and its deviation from scheduled set point</w:t>
      </w:r>
    </w:p>
    <w:p w14:paraId="46FBB03F" w14:textId="0D9BB96A" w:rsidR="006B3F8D" w:rsidRDefault="006B3F8D" w:rsidP="008B5D4E">
      <w:pPr>
        <w:pStyle w:val="ListParagraph"/>
        <w:numPr>
          <w:ilvl w:val="1"/>
          <w:numId w:val="2"/>
        </w:numPr>
      </w:pPr>
      <w:r>
        <w:t>Total bill, synchronized to the cleared market price</w:t>
      </w:r>
      <w:r>
        <w:rPr>
          <w:rStyle w:val="FootnoteReference"/>
        </w:rPr>
        <w:footnoteReference w:id="2"/>
      </w:r>
      <w:r>
        <w:t xml:space="preserve"> </w:t>
      </w:r>
    </w:p>
    <w:p w14:paraId="38ACFC92" w14:textId="441A2A58" w:rsidR="004E2A6E" w:rsidRDefault="00A96461" w:rsidP="004E2A6E">
      <w:r>
        <w:t>Additional metrics could be derived in post processing</w:t>
      </w:r>
      <w:r w:rsidR="004E2A6E">
        <w:t>.</w:t>
      </w:r>
      <w:r w:rsidR="00AD0CFC">
        <w:t xml:space="preserve"> One example is the “comfort metric” for thermostatically-controlled devices. There are several different comfort models, and they may also take account of building occupancy. </w:t>
      </w:r>
      <w:r w:rsidR="004F385A">
        <w:t xml:space="preserve">GridLAB-D has an </w:t>
      </w:r>
      <w:proofErr w:type="spellStart"/>
      <w:r w:rsidR="004F385A" w:rsidRPr="00C8505D">
        <w:rPr>
          <w:i/>
        </w:rPr>
        <w:t>occupancy_fraction</w:t>
      </w:r>
      <w:proofErr w:type="spellEnd"/>
      <w:r w:rsidR="004F385A">
        <w:t xml:space="preserve"> that could be s</w:t>
      </w:r>
      <w:bookmarkStart w:id="0" w:name="_GoBack"/>
      <w:bookmarkEnd w:id="0"/>
      <w:r w:rsidR="004F385A">
        <w:t>cheduled, but otherwise no</w:t>
      </w:r>
      <w:r w:rsidR="00AD0CFC">
        <w:t xml:space="preserve"> occupancy</w:t>
      </w:r>
      <w:r w:rsidR="004F385A">
        <w:t xml:space="preserve"> model</w:t>
      </w:r>
      <w:r w:rsidR="00DC7719">
        <w:rPr>
          <w:rStyle w:val="FootnoteReference"/>
        </w:rPr>
        <w:footnoteReference w:id="3"/>
      </w:r>
      <w:r w:rsidR="004F385A">
        <w:t>. The time-dependent HVAC</w:t>
      </w:r>
      <w:r w:rsidR="00AD0CFC">
        <w:t xml:space="preserve"> set point schedules</w:t>
      </w:r>
      <w:r w:rsidR="004F385A">
        <w:t xml:space="preserve"> might serve as</w:t>
      </w:r>
      <w:r w:rsidR="00AD0CFC">
        <w:t xml:space="preserve"> a proxy for occupancy.</w:t>
      </w:r>
    </w:p>
    <w:p w14:paraId="329C55AB" w14:textId="44EBBA7F" w:rsidR="004E2A6E" w:rsidRDefault="004E2A6E" w:rsidP="005211A5"/>
    <w:sectPr w:rsidR="004E2A6E" w:rsidSect="008E74FC">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E5EEFE" w14:textId="77777777" w:rsidR="00C11B48" w:rsidRDefault="00C11B48" w:rsidP="0056487F">
      <w:pPr>
        <w:spacing w:after="0"/>
      </w:pPr>
      <w:r>
        <w:separator/>
      </w:r>
    </w:p>
  </w:endnote>
  <w:endnote w:type="continuationSeparator" w:id="0">
    <w:p w14:paraId="3FFD0509" w14:textId="77777777" w:rsidR="00C11B48" w:rsidRDefault="00C11B48" w:rsidP="005648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panose1 w:val="02020500000000000000"/>
    <w:charset w:val="88"/>
    <w:family w:val="auto"/>
    <w:pitch w:val="variable"/>
    <w:sig w:usb0="A00002FF" w:usb1="28CFFCFA" w:usb2="00000016" w:usb3="00000000" w:csb0="001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DA691" w14:textId="77777777" w:rsidR="00403447" w:rsidRDefault="00403447" w:rsidP="00E87D5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9E0C910" w14:textId="77777777" w:rsidR="00403447" w:rsidRDefault="0040344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BCCA4" w14:textId="77777777" w:rsidR="00403447" w:rsidRDefault="00403447" w:rsidP="00E87D5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8505D">
      <w:rPr>
        <w:rStyle w:val="PageNumber"/>
        <w:noProof/>
      </w:rPr>
      <w:t>1</w:t>
    </w:r>
    <w:r>
      <w:rPr>
        <w:rStyle w:val="PageNumber"/>
      </w:rPr>
      <w:fldChar w:fldCharType="end"/>
    </w:r>
  </w:p>
  <w:p w14:paraId="0F34949F" w14:textId="3FF27B3E" w:rsidR="00403447" w:rsidRDefault="00403447" w:rsidP="008C4ECA">
    <w:pPr>
      <w:pStyle w:val="Footer"/>
      <w:tabs>
        <w:tab w:val="clear" w:pos="8640"/>
        <w:tab w:val="right" w:pos="9360"/>
      </w:tabs>
    </w:pPr>
    <w:r>
      <w:tab/>
    </w:r>
    <w:r>
      <w:tab/>
    </w:r>
    <w:r>
      <w:fldChar w:fldCharType="begin"/>
    </w:r>
    <w:r>
      <w:instrText xml:space="preserve"> SAVEDATE \@ "M/d/yyyy" \* MERGEFORMAT </w:instrText>
    </w:r>
    <w:r>
      <w:fldChar w:fldCharType="separate"/>
    </w:r>
    <w:r w:rsidR="0060768D">
      <w:rPr>
        <w:noProof/>
      </w:rPr>
      <w:t>6/21/2017</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6A5E89" w14:textId="77777777" w:rsidR="00C11B48" w:rsidRDefault="00C11B48" w:rsidP="0056487F">
      <w:pPr>
        <w:spacing w:after="0"/>
      </w:pPr>
      <w:r>
        <w:separator/>
      </w:r>
    </w:p>
  </w:footnote>
  <w:footnote w:type="continuationSeparator" w:id="0">
    <w:p w14:paraId="5B8BC93E" w14:textId="77777777" w:rsidR="00C11B48" w:rsidRDefault="00C11B48" w:rsidP="0056487F">
      <w:pPr>
        <w:spacing w:after="0"/>
      </w:pPr>
      <w:r>
        <w:continuationSeparator/>
      </w:r>
    </w:p>
  </w:footnote>
  <w:footnote w:id="1">
    <w:p w14:paraId="4A909A5B" w14:textId="1B9710F4" w:rsidR="00450B77" w:rsidRDefault="00450B77">
      <w:pPr>
        <w:pStyle w:val="FootnoteText"/>
      </w:pPr>
      <w:r>
        <w:rPr>
          <w:rStyle w:val="FootnoteReference"/>
        </w:rPr>
        <w:footnoteRef/>
      </w:r>
      <w:r>
        <w:t xml:space="preserve"> Because we’re using the balanced-secondary version of the IEEE 8500-node feeder, there won’t be any secondary voltage unbalance at single-phase loads. The normalized line-to-neutral and line-to-line voltage magnitudes will be equal. For </w:t>
      </w:r>
      <w:r w:rsidR="00B33E90">
        <w:t xml:space="preserve">such </w:t>
      </w:r>
      <w:r>
        <w:t xml:space="preserve">single-phase loads, </w:t>
      </w:r>
      <w:proofErr w:type="spellStart"/>
      <w:r w:rsidRPr="00450B77">
        <w:rPr>
          <w:i/>
        </w:rPr>
        <w:t>V</w:t>
      </w:r>
      <w:r w:rsidRPr="00450B77">
        <w:rPr>
          <w:i/>
          <w:vertAlign w:val="subscript"/>
        </w:rPr>
        <w:t>avg</w:t>
      </w:r>
      <w:proofErr w:type="spellEnd"/>
      <w:r>
        <w:t xml:space="preserve"> should be defined on a 120-volt basis.</w:t>
      </w:r>
    </w:p>
  </w:footnote>
  <w:footnote w:id="2">
    <w:p w14:paraId="2A24DFAA" w14:textId="2C9D7E52" w:rsidR="006B3F8D" w:rsidRDefault="006B3F8D">
      <w:pPr>
        <w:pStyle w:val="FootnoteText"/>
      </w:pPr>
      <w:r>
        <w:rPr>
          <w:rStyle w:val="FootnoteReference"/>
        </w:rPr>
        <w:footnoteRef/>
      </w:r>
      <w:r>
        <w:t xml:space="preserve"> The </w:t>
      </w:r>
      <w:r w:rsidR="007F45D1">
        <w:t>8500-node model as currently implement</w:t>
      </w:r>
      <w:r>
        <w:t>ed assumes net metering, with DER disaggregation based on real power. An alternative would be to meter each DER separately from the house, so each could have its own tariff and bill.</w:t>
      </w:r>
    </w:p>
  </w:footnote>
  <w:footnote w:id="3">
    <w:p w14:paraId="3AD755B3" w14:textId="4B0EF10D" w:rsidR="00DC7719" w:rsidRDefault="00DC7719">
      <w:pPr>
        <w:pStyle w:val="FootnoteText"/>
      </w:pPr>
      <w:r>
        <w:rPr>
          <w:rStyle w:val="FootnoteReference"/>
        </w:rPr>
        <w:footnoteRef/>
      </w:r>
      <w:r>
        <w:t xml:space="preserve"> </w:t>
      </w:r>
      <w:proofErr w:type="spellStart"/>
      <w:r>
        <w:t>EnergyPlus</w:t>
      </w:r>
      <w:proofErr w:type="spellEnd"/>
      <w:r>
        <w:t xml:space="preserve"> does have an occupancy model.</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bottomFromText="200" w:vertAnchor="text" w:tblpY="1"/>
      <w:tblW w:w="4937" w:type="pct"/>
      <w:tblLook w:val="04A0" w:firstRow="1" w:lastRow="0" w:firstColumn="1" w:lastColumn="0" w:noHBand="0" w:noVBand="1"/>
    </w:tblPr>
    <w:tblGrid>
      <w:gridCol w:w="4206"/>
      <w:gridCol w:w="1252"/>
      <w:gridCol w:w="3997"/>
    </w:tblGrid>
    <w:tr w:rsidR="00403447" w:rsidRPr="008E0D90" w14:paraId="14B30399" w14:textId="77777777" w:rsidTr="00ED2644">
      <w:trPr>
        <w:trHeight w:val="151"/>
      </w:trPr>
      <w:tc>
        <w:tcPr>
          <w:tcW w:w="2389" w:type="pct"/>
          <w:tcBorders>
            <w:top w:val="nil"/>
            <w:left w:val="nil"/>
            <w:bottom w:val="single" w:sz="4" w:space="0" w:color="4F81BD" w:themeColor="accent1"/>
            <w:right w:val="nil"/>
          </w:tcBorders>
        </w:tcPr>
        <w:p w14:paraId="687F4AC3" w14:textId="77777777" w:rsidR="00403447" w:rsidRPr="008E0D90" w:rsidRDefault="00403447">
          <w:pPr>
            <w:pStyle w:val="Header"/>
            <w:spacing w:line="276" w:lineRule="auto"/>
            <w:rPr>
              <w:rFonts w:ascii="Cambria" w:eastAsiaTheme="majorEastAsia" w:hAnsi="Cambria" w:cstheme="majorBidi"/>
              <w:b/>
              <w:bCs/>
              <w:color w:val="4F81BD" w:themeColor="accent1"/>
            </w:rPr>
          </w:pPr>
        </w:p>
      </w:tc>
      <w:tc>
        <w:tcPr>
          <w:tcW w:w="333" w:type="pct"/>
          <w:vMerge w:val="restart"/>
          <w:noWrap/>
          <w:vAlign w:val="center"/>
          <w:hideMark/>
        </w:tcPr>
        <w:p w14:paraId="76641857" w14:textId="77777777" w:rsidR="00403447" w:rsidRPr="008E0D90" w:rsidRDefault="00C11B48" w:rsidP="00ED2644">
          <w:pPr>
            <w:pStyle w:val="NoSpacing"/>
            <w:rPr>
              <w:rFonts w:ascii="Cambria" w:hAnsi="Cambria"/>
              <w:color w:val="4F81BD" w:themeColor="accent1"/>
              <w:szCs w:val="20"/>
            </w:rPr>
          </w:pPr>
          <w:sdt>
            <w:sdtPr>
              <w:rPr>
                <w:rFonts w:ascii="Cambria" w:hAnsi="Cambria"/>
                <w:color w:val="4F81BD" w:themeColor="accent1"/>
              </w:rPr>
              <w:id w:val="95367809"/>
              <w:placeholder>
                <w:docPart w:val="592913BE552AA745BD635E2C23A56825"/>
              </w:placeholder>
              <w:temporary/>
              <w:showingPlcHdr/>
            </w:sdtPr>
            <w:sdtEndPr/>
            <w:sdtContent>
              <w:r w:rsidR="00403447" w:rsidRPr="008E0D90">
                <w:rPr>
                  <w:rFonts w:ascii="Cambria" w:hAnsi="Cambria"/>
                  <w:color w:val="4F81BD" w:themeColor="accent1"/>
                </w:rPr>
                <w:t>[Type text]</w:t>
              </w:r>
            </w:sdtContent>
          </w:sdt>
        </w:p>
      </w:tc>
      <w:tc>
        <w:tcPr>
          <w:tcW w:w="2278" w:type="pct"/>
          <w:tcBorders>
            <w:top w:val="nil"/>
            <w:left w:val="nil"/>
            <w:bottom w:val="single" w:sz="4" w:space="0" w:color="4F81BD" w:themeColor="accent1"/>
            <w:right w:val="nil"/>
          </w:tcBorders>
        </w:tcPr>
        <w:p w14:paraId="7906CB52" w14:textId="77777777" w:rsidR="00403447" w:rsidRPr="008E0D90" w:rsidRDefault="00403447">
          <w:pPr>
            <w:pStyle w:val="Header"/>
            <w:spacing w:line="276" w:lineRule="auto"/>
            <w:rPr>
              <w:rFonts w:ascii="Cambria" w:eastAsiaTheme="majorEastAsia" w:hAnsi="Cambria" w:cstheme="majorBidi"/>
              <w:b/>
              <w:bCs/>
              <w:color w:val="4F81BD" w:themeColor="accent1"/>
            </w:rPr>
          </w:pPr>
        </w:p>
      </w:tc>
    </w:tr>
    <w:tr w:rsidR="00403447" w:rsidRPr="008E0D90" w14:paraId="23EC95C7" w14:textId="77777777" w:rsidTr="00ED2644">
      <w:trPr>
        <w:trHeight w:val="150"/>
      </w:trPr>
      <w:tc>
        <w:tcPr>
          <w:tcW w:w="2389" w:type="pct"/>
          <w:tcBorders>
            <w:top w:val="single" w:sz="4" w:space="0" w:color="4F81BD" w:themeColor="accent1"/>
            <w:left w:val="nil"/>
            <w:bottom w:val="nil"/>
            <w:right w:val="nil"/>
          </w:tcBorders>
        </w:tcPr>
        <w:p w14:paraId="329DD355" w14:textId="77777777" w:rsidR="00403447" w:rsidRPr="008E0D90" w:rsidRDefault="00403447">
          <w:pPr>
            <w:pStyle w:val="Header"/>
            <w:spacing w:line="276" w:lineRule="auto"/>
            <w:rPr>
              <w:rFonts w:ascii="Cambria" w:eastAsiaTheme="majorEastAsia" w:hAnsi="Cambria" w:cstheme="majorBidi"/>
              <w:b/>
              <w:bCs/>
              <w:color w:val="4F81BD" w:themeColor="accent1"/>
            </w:rPr>
          </w:pPr>
        </w:p>
      </w:tc>
      <w:tc>
        <w:tcPr>
          <w:tcW w:w="0" w:type="auto"/>
          <w:vMerge/>
          <w:vAlign w:val="center"/>
          <w:hideMark/>
        </w:tcPr>
        <w:p w14:paraId="6BC13A0B" w14:textId="77777777" w:rsidR="00403447" w:rsidRPr="008E0D90" w:rsidRDefault="00403447">
          <w:pPr>
            <w:spacing w:after="0"/>
            <w:rPr>
              <w:rFonts w:ascii="Cambria" w:hAnsi="Cambria"/>
              <w:color w:val="4F81BD" w:themeColor="accent1"/>
              <w:sz w:val="22"/>
              <w:szCs w:val="22"/>
            </w:rPr>
          </w:pPr>
        </w:p>
      </w:tc>
      <w:tc>
        <w:tcPr>
          <w:tcW w:w="2278" w:type="pct"/>
          <w:tcBorders>
            <w:top w:val="single" w:sz="4" w:space="0" w:color="4F81BD" w:themeColor="accent1"/>
            <w:left w:val="nil"/>
            <w:bottom w:val="nil"/>
            <w:right w:val="nil"/>
          </w:tcBorders>
        </w:tcPr>
        <w:p w14:paraId="6EDCB3DA" w14:textId="77777777" w:rsidR="00403447" w:rsidRPr="008E0D90" w:rsidRDefault="00403447">
          <w:pPr>
            <w:pStyle w:val="Header"/>
            <w:spacing w:line="276" w:lineRule="auto"/>
            <w:rPr>
              <w:rFonts w:ascii="Cambria" w:eastAsiaTheme="majorEastAsia" w:hAnsi="Cambria" w:cstheme="majorBidi"/>
              <w:b/>
              <w:bCs/>
              <w:color w:val="4F81BD" w:themeColor="accent1"/>
            </w:rPr>
          </w:pPr>
        </w:p>
      </w:tc>
    </w:tr>
  </w:tbl>
  <w:p w14:paraId="3DAEF73A" w14:textId="77777777" w:rsidR="00403447" w:rsidRDefault="0040344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bottomFromText="200" w:vertAnchor="text" w:tblpY="1"/>
      <w:tblW w:w="4937" w:type="pct"/>
      <w:tblLook w:val="04A0" w:firstRow="1" w:lastRow="0" w:firstColumn="1" w:lastColumn="0" w:noHBand="0" w:noVBand="1"/>
    </w:tblPr>
    <w:tblGrid>
      <w:gridCol w:w="2114"/>
      <w:gridCol w:w="5436"/>
      <w:gridCol w:w="1905"/>
    </w:tblGrid>
    <w:tr w:rsidR="00A7115E" w:rsidRPr="008E0D90" w14:paraId="1D61C3B2" w14:textId="77777777" w:rsidTr="00ED2644">
      <w:trPr>
        <w:trHeight w:val="151"/>
      </w:trPr>
      <w:tc>
        <w:tcPr>
          <w:tcW w:w="2389" w:type="pct"/>
          <w:tcBorders>
            <w:top w:val="nil"/>
            <w:left w:val="nil"/>
            <w:bottom w:val="single" w:sz="4" w:space="0" w:color="4F81BD" w:themeColor="accent1"/>
            <w:right w:val="nil"/>
          </w:tcBorders>
        </w:tcPr>
        <w:p w14:paraId="41DC44CD" w14:textId="77777777" w:rsidR="00403447" w:rsidRPr="008E0D90" w:rsidRDefault="00403447">
          <w:pPr>
            <w:pStyle w:val="Header"/>
            <w:spacing w:line="276" w:lineRule="auto"/>
            <w:rPr>
              <w:rFonts w:ascii="Cambria" w:eastAsiaTheme="majorEastAsia" w:hAnsi="Cambria" w:cstheme="majorBidi"/>
              <w:b/>
              <w:bCs/>
              <w:color w:val="4F81BD" w:themeColor="accent1"/>
            </w:rPr>
          </w:pPr>
        </w:p>
      </w:tc>
      <w:tc>
        <w:tcPr>
          <w:tcW w:w="333" w:type="pct"/>
          <w:vMerge w:val="restart"/>
          <w:noWrap/>
          <w:vAlign w:val="center"/>
          <w:hideMark/>
        </w:tcPr>
        <w:p w14:paraId="3A484FE7" w14:textId="744E64AC" w:rsidR="00403447" w:rsidRPr="008E0D90" w:rsidRDefault="00911063" w:rsidP="00A7115E">
          <w:pPr>
            <w:pStyle w:val="NoSpacing"/>
            <w:rPr>
              <w:rFonts w:ascii="Cambria" w:hAnsi="Cambria"/>
              <w:color w:val="4F81BD" w:themeColor="accent1"/>
              <w:szCs w:val="20"/>
            </w:rPr>
          </w:pPr>
          <w:r>
            <w:rPr>
              <w:rFonts w:ascii="Cambria" w:hAnsi="Cambria"/>
              <w:color w:val="4F81BD" w:themeColor="accent1"/>
            </w:rPr>
            <w:t xml:space="preserve">TESP </w:t>
          </w:r>
          <w:r w:rsidR="00A7115E">
            <w:rPr>
              <w:rFonts w:ascii="Cambria" w:hAnsi="Cambria"/>
              <w:color w:val="4F81BD" w:themeColor="accent1"/>
            </w:rPr>
            <w:t>Metrics for NIST TE Challenge 2 (SGIP 3 Use Case)</w:t>
          </w:r>
        </w:p>
      </w:tc>
      <w:tc>
        <w:tcPr>
          <w:tcW w:w="2278" w:type="pct"/>
          <w:tcBorders>
            <w:top w:val="nil"/>
            <w:left w:val="nil"/>
            <w:bottom w:val="single" w:sz="4" w:space="0" w:color="4F81BD" w:themeColor="accent1"/>
            <w:right w:val="nil"/>
          </w:tcBorders>
        </w:tcPr>
        <w:p w14:paraId="032E2C2F" w14:textId="77777777" w:rsidR="00403447" w:rsidRPr="008E0D90" w:rsidRDefault="00403447">
          <w:pPr>
            <w:pStyle w:val="Header"/>
            <w:spacing w:line="276" w:lineRule="auto"/>
            <w:rPr>
              <w:rFonts w:ascii="Cambria" w:eastAsiaTheme="majorEastAsia" w:hAnsi="Cambria" w:cstheme="majorBidi"/>
              <w:b/>
              <w:bCs/>
              <w:color w:val="4F81BD" w:themeColor="accent1"/>
            </w:rPr>
          </w:pPr>
        </w:p>
      </w:tc>
    </w:tr>
    <w:tr w:rsidR="00A7115E" w:rsidRPr="008E0D90" w14:paraId="2663F644" w14:textId="77777777" w:rsidTr="00ED2644">
      <w:trPr>
        <w:trHeight w:val="150"/>
      </w:trPr>
      <w:tc>
        <w:tcPr>
          <w:tcW w:w="2389" w:type="pct"/>
          <w:tcBorders>
            <w:top w:val="single" w:sz="4" w:space="0" w:color="4F81BD" w:themeColor="accent1"/>
            <w:left w:val="nil"/>
            <w:bottom w:val="nil"/>
            <w:right w:val="nil"/>
          </w:tcBorders>
        </w:tcPr>
        <w:p w14:paraId="4A9D351E" w14:textId="77777777" w:rsidR="00403447" w:rsidRPr="008E0D90" w:rsidRDefault="00403447">
          <w:pPr>
            <w:pStyle w:val="Header"/>
            <w:spacing w:line="276" w:lineRule="auto"/>
            <w:rPr>
              <w:rFonts w:ascii="Cambria" w:eastAsiaTheme="majorEastAsia" w:hAnsi="Cambria" w:cstheme="majorBidi"/>
              <w:b/>
              <w:bCs/>
              <w:color w:val="4F81BD" w:themeColor="accent1"/>
            </w:rPr>
          </w:pPr>
        </w:p>
      </w:tc>
      <w:tc>
        <w:tcPr>
          <w:tcW w:w="0" w:type="auto"/>
          <w:vMerge/>
          <w:vAlign w:val="center"/>
          <w:hideMark/>
        </w:tcPr>
        <w:p w14:paraId="0C0BAC40" w14:textId="77777777" w:rsidR="00403447" w:rsidRPr="008E0D90" w:rsidRDefault="00403447">
          <w:pPr>
            <w:spacing w:after="0"/>
            <w:rPr>
              <w:rFonts w:ascii="Cambria" w:hAnsi="Cambria"/>
              <w:color w:val="4F81BD" w:themeColor="accent1"/>
              <w:sz w:val="22"/>
              <w:szCs w:val="22"/>
            </w:rPr>
          </w:pPr>
        </w:p>
      </w:tc>
      <w:tc>
        <w:tcPr>
          <w:tcW w:w="2278" w:type="pct"/>
          <w:tcBorders>
            <w:top w:val="single" w:sz="4" w:space="0" w:color="4F81BD" w:themeColor="accent1"/>
            <w:left w:val="nil"/>
            <w:bottom w:val="nil"/>
            <w:right w:val="nil"/>
          </w:tcBorders>
        </w:tcPr>
        <w:p w14:paraId="36DBB964" w14:textId="77777777" w:rsidR="00403447" w:rsidRPr="008E0D90" w:rsidRDefault="00403447">
          <w:pPr>
            <w:pStyle w:val="Header"/>
            <w:spacing w:line="276" w:lineRule="auto"/>
            <w:rPr>
              <w:rFonts w:ascii="Cambria" w:eastAsiaTheme="majorEastAsia" w:hAnsi="Cambria" w:cstheme="majorBidi"/>
              <w:b/>
              <w:bCs/>
              <w:color w:val="4F81BD" w:themeColor="accent1"/>
            </w:rPr>
          </w:pPr>
        </w:p>
      </w:tc>
    </w:tr>
  </w:tbl>
  <w:p w14:paraId="05E9A7F6" w14:textId="77777777" w:rsidR="00403447" w:rsidRDefault="0040344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01118F"/>
    <w:multiLevelType w:val="hybridMultilevel"/>
    <w:tmpl w:val="7E785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1A50AA"/>
    <w:multiLevelType w:val="multilevel"/>
    <w:tmpl w:val="EBF49C5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D907C3D"/>
    <w:multiLevelType w:val="hybridMultilevel"/>
    <w:tmpl w:val="E61C8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DC44C8"/>
    <w:multiLevelType w:val="hybridMultilevel"/>
    <w:tmpl w:val="C0E6E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E666FC"/>
    <w:multiLevelType w:val="hybridMultilevel"/>
    <w:tmpl w:val="3FD072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C12BF5"/>
    <w:multiLevelType w:val="hybridMultilevel"/>
    <w:tmpl w:val="025A96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7870F1"/>
    <w:multiLevelType w:val="hybridMultilevel"/>
    <w:tmpl w:val="5CE08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CA7757"/>
    <w:multiLevelType w:val="hybridMultilevel"/>
    <w:tmpl w:val="4A5C0B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A43856"/>
    <w:multiLevelType w:val="hybridMultilevel"/>
    <w:tmpl w:val="EBACDB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194114"/>
    <w:multiLevelType w:val="hybridMultilevel"/>
    <w:tmpl w:val="BAAE2D1A"/>
    <w:lvl w:ilvl="0" w:tplc="D67AA6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710F5A"/>
    <w:multiLevelType w:val="hybridMultilevel"/>
    <w:tmpl w:val="48101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D815C8"/>
    <w:multiLevelType w:val="hybridMultilevel"/>
    <w:tmpl w:val="BA3C1A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B30CCA"/>
    <w:multiLevelType w:val="hybridMultilevel"/>
    <w:tmpl w:val="A5E014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CC7CF9"/>
    <w:multiLevelType w:val="hybridMultilevel"/>
    <w:tmpl w:val="55DE9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8A607F"/>
    <w:multiLevelType w:val="hybridMultilevel"/>
    <w:tmpl w:val="4F26F15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nsid w:val="4D9A5DA4"/>
    <w:multiLevelType w:val="hybridMultilevel"/>
    <w:tmpl w:val="674AD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AB7125"/>
    <w:multiLevelType w:val="hybridMultilevel"/>
    <w:tmpl w:val="EE18AF44"/>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8">
    <w:nsid w:val="50CD15A0"/>
    <w:multiLevelType w:val="hybridMultilevel"/>
    <w:tmpl w:val="85A0A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BF1C27"/>
    <w:multiLevelType w:val="hybridMultilevel"/>
    <w:tmpl w:val="6F1A9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8CB1419"/>
    <w:multiLevelType w:val="hybridMultilevel"/>
    <w:tmpl w:val="8612F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5EC2C8A"/>
    <w:multiLevelType w:val="hybridMultilevel"/>
    <w:tmpl w:val="EBC80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E6016E"/>
    <w:multiLevelType w:val="hybridMultilevel"/>
    <w:tmpl w:val="2BB66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3"/>
  </w:num>
  <w:num w:numId="4">
    <w:abstractNumId w:val="18"/>
  </w:num>
  <w:num w:numId="5">
    <w:abstractNumId w:val="8"/>
  </w:num>
  <w:num w:numId="6">
    <w:abstractNumId w:val="17"/>
  </w:num>
  <w:num w:numId="7">
    <w:abstractNumId w:val="6"/>
  </w:num>
  <w:num w:numId="8">
    <w:abstractNumId w:val="3"/>
  </w:num>
  <w:num w:numId="9">
    <w:abstractNumId w:val="1"/>
  </w:num>
  <w:num w:numId="10">
    <w:abstractNumId w:val="16"/>
  </w:num>
  <w:num w:numId="11">
    <w:abstractNumId w:val="11"/>
  </w:num>
  <w:num w:numId="12">
    <w:abstractNumId w:val="19"/>
  </w:num>
  <w:num w:numId="13">
    <w:abstractNumId w:val="7"/>
  </w:num>
  <w:num w:numId="14">
    <w:abstractNumId w:val="4"/>
  </w:num>
  <w:num w:numId="15">
    <w:abstractNumId w:val="21"/>
  </w:num>
  <w:num w:numId="16">
    <w:abstractNumId w:val="0"/>
  </w:num>
  <w:num w:numId="17">
    <w:abstractNumId w:val="20"/>
  </w:num>
  <w:num w:numId="18">
    <w:abstractNumId w:val="5"/>
  </w:num>
  <w:num w:numId="19">
    <w:abstractNumId w:val="10"/>
  </w:num>
  <w:num w:numId="20">
    <w:abstractNumId w:val="2"/>
  </w:num>
  <w:num w:numId="21">
    <w:abstractNumId w:val="14"/>
  </w:num>
  <w:num w:numId="22">
    <w:abstractNumId w:val="22"/>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xt9wraza9p25zevrw5v5e0rsvafazdvzfe0&quot;&gt;PNNLtemc&lt;record-ids&gt;&lt;item&gt;263&lt;/item&gt;&lt;/record-ids&gt;&lt;/item&gt;&lt;/Libraries&gt;"/>
  </w:docVars>
  <w:rsids>
    <w:rsidRoot w:val="007805D8"/>
    <w:rsid w:val="00005DC1"/>
    <w:rsid w:val="000103BE"/>
    <w:rsid w:val="00031204"/>
    <w:rsid w:val="00042163"/>
    <w:rsid w:val="00056280"/>
    <w:rsid w:val="000977C6"/>
    <w:rsid w:val="00107D9F"/>
    <w:rsid w:val="0011491F"/>
    <w:rsid w:val="00131D9F"/>
    <w:rsid w:val="00140524"/>
    <w:rsid w:val="00172DCB"/>
    <w:rsid w:val="001828E2"/>
    <w:rsid w:val="00193472"/>
    <w:rsid w:val="001A3D63"/>
    <w:rsid w:val="001A3FF2"/>
    <w:rsid w:val="001B2C4E"/>
    <w:rsid w:val="001E64EA"/>
    <w:rsid w:val="00205F5C"/>
    <w:rsid w:val="002246F1"/>
    <w:rsid w:val="00272408"/>
    <w:rsid w:val="002810CB"/>
    <w:rsid w:val="00286281"/>
    <w:rsid w:val="00315180"/>
    <w:rsid w:val="00344E85"/>
    <w:rsid w:val="003535B1"/>
    <w:rsid w:val="00372456"/>
    <w:rsid w:val="0037263B"/>
    <w:rsid w:val="003A128B"/>
    <w:rsid w:val="003A666A"/>
    <w:rsid w:val="003C5F26"/>
    <w:rsid w:val="003E5998"/>
    <w:rsid w:val="00403447"/>
    <w:rsid w:val="0040719B"/>
    <w:rsid w:val="004332F1"/>
    <w:rsid w:val="00441185"/>
    <w:rsid w:val="00450B77"/>
    <w:rsid w:val="00455A52"/>
    <w:rsid w:val="004D0230"/>
    <w:rsid w:val="004D65E1"/>
    <w:rsid w:val="004E0092"/>
    <w:rsid w:val="004E2A6E"/>
    <w:rsid w:val="004E5B02"/>
    <w:rsid w:val="004F0D3A"/>
    <w:rsid w:val="004F385A"/>
    <w:rsid w:val="004F405C"/>
    <w:rsid w:val="004F56EE"/>
    <w:rsid w:val="00515C42"/>
    <w:rsid w:val="005211A5"/>
    <w:rsid w:val="00525A19"/>
    <w:rsid w:val="00536805"/>
    <w:rsid w:val="00541D25"/>
    <w:rsid w:val="00556CD5"/>
    <w:rsid w:val="0056487F"/>
    <w:rsid w:val="00571FCF"/>
    <w:rsid w:val="00577578"/>
    <w:rsid w:val="00594B0F"/>
    <w:rsid w:val="005C7FE4"/>
    <w:rsid w:val="005D7E1A"/>
    <w:rsid w:val="0060768D"/>
    <w:rsid w:val="00616CFD"/>
    <w:rsid w:val="006173C0"/>
    <w:rsid w:val="00621744"/>
    <w:rsid w:val="00632E20"/>
    <w:rsid w:val="00645B51"/>
    <w:rsid w:val="00647916"/>
    <w:rsid w:val="00661474"/>
    <w:rsid w:val="00695C69"/>
    <w:rsid w:val="006A52C6"/>
    <w:rsid w:val="006A5795"/>
    <w:rsid w:val="006B3F8D"/>
    <w:rsid w:val="006D2857"/>
    <w:rsid w:val="006F2DC4"/>
    <w:rsid w:val="006F72BA"/>
    <w:rsid w:val="007065D9"/>
    <w:rsid w:val="007401BB"/>
    <w:rsid w:val="00756B4C"/>
    <w:rsid w:val="007671CD"/>
    <w:rsid w:val="007805D8"/>
    <w:rsid w:val="007808F9"/>
    <w:rsid w:val="00784B61"/>
    <w:rsid w:val="007935A8"/>
    <w:rsid w:val="007A046B"/>
    <w:rsid w:val="007A2470"/>
    <w:rsid w:val="007D5E0C"/>
    <w:rsid w:val="007F45D1"/>
    <w:rsid w:val="007F57C1"/>
    <w:rsid w:val="00823874"/>
    <w:rsid w:val="0086358D"/>
    <w:rsid w:val="008B404D"/>
    <w:rsid w:val="008B5D4E"/>
    <w:rsid w:val="008C4ECA"/>
    <w:rsid w:val="008E6727"/>
    <w:rsid w:val="008E74FC"/>
    <w:rsid w:val="00911063"/>
    <w:rsid w:val="00921970"/>
    <w:rsid w:val="009328E4"/>
    <w:rsid w:val="00941FAC"/>
    <w:rsid w:val="009461E1"/>
    <w:rsid w:val="00957D6C"/>
    <w:rsid w:val="00986B48"/>
    <w:rsid w:val="009F0F5A"/>
    <w:rsid w:val="00A2430D"/>
    <w:rsid w:val="00A53B29"/>
    <w:rsid w:val="00A573AE"/>
    <w:rsid w:val="00A7115E"/>
    <w:rsid w:val="00A96461"/>
    <w:rsid w:val="00AB12DE"/>
    <w:rsid w:val="00AD0CFC"/>
    <w:rsid w:val="00B00B0A"/>
    <w:rsid w:val="00B059BC"/>
    <w:rsid w:val="00B33E90"/>
    <w:rsid w:val="00BA79B8"/>
    <w:rsid w:val="00BB7C43"/>
    <w:rsid w:val="00BF5EA4"/>
    <w:rsid w:val="00C05082"/>
    <w:rsid w:val="00C11B48"/>
    <w:rsid w:val="00C14689"/>
    <w:rsid w:val="00C8505D"/>
    <w:rsid w:val="00C90AD2"/>
    <w:rsid w:val="00C91E5E"/>
    <w:rsid w:val="00CD12E8"/>
    <w:rsid w:val="00CD5B28"/>
    <w:rsid w:val="00D551FF"/>
    <w:rsid w:val="00D67838"/>
    <w:rsid w:val="00D77548"/>
    <w:rsid w:val="00D851FD"/>
    <w:rsid w:val="00DC3D79"/>
    <w:rsid w:val="00DC7719"/>
    <w:rsid w:val="00DD49AB"/>
    <w:rsid w:val="00DE7AF8"/>
    <w:rsid w:val="00DF401F"/>
    <w:rsid w:val="00E36FEA"/>
    <w:rsid w:val="00E451F6"/>
    <w:rsid w:val="00E55553"/>
    <w:rsid w:val="00E71C80"/>
    <w:rsid w:val="00E87452"/>
    <w:rsid w:val="00E87D57"/>
    <w:rsid w:val="00E9317D"/>
    <w:rsid w:val="00ED2644"/>
    <w:rsid w:val="00EE4903"/>
    <w:rsid w:val="00F11A6E"/>
    <w:rsid w:val="00F313AC"/>
    <w:rsid w:val="00F344A1"/>
    <w:rsid w:val="00F372EC"/>
    <w:rsid w:val="00F4375F"/>
    <w:rsid w:val="00F62F07"/>
    <w:rsid w:val="00F95638"/>
    <w:rsid w:val="00FB0250"/>
    <w:rsid w:val="00FC34E5"/>
    <w:rsid w:val="00FD0CC5"/>
    <w:rsid w:val="00FD2E3D"/>
    <w:rsid w:val="00FE73EC"/>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1B5AE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4E85"/>
    <w:pPr>
      <w:spacing w:after="120"/>
    </w:pPr>
  </w:style>
  <w:style w:type="paragraph" w:styleId="Heading1">
    <w:name w:val="heading 1"/>
    <w:basedOn w:val="Normal"/>
    <w:next w:val="Normal"/>
    <w:link w:val="Heading1Char"/>
    <w:uiPriority w:val="9"/>
    <w:qFormat/>
    <w:rsid w:val="00455A52"/>
    <w:pPr>
      <w:keepNext/>
      <w:keepLines/>
      <w:numPr>
        <w:numId w:val="20"/>
      </w:numPr>
      <w:spacing w:before="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55A52"/>
    <w:pPr>
      <w:keepNext/>
      <w:keepLines/>
      <w:numPr>
        <w:ilvl w:val="1"/>
        <w:numId w:val="2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55A52"/>
    <w:pPr>
      <w:keepNext/>
      <w:keepLines/>
      <w:numPr>
        <w:ilvl w:val="2"/>
        <w:numId w:val="2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55A52"/>
    <w:pPr>
      <w:keepNext/>
      <w:keepLines/>
      <w:numPr>
        <w:ilvl w:val="3"/>
        <w:numId w:val="2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55A52"/>
    <w:pPr>
      <w:keepNext/>
      <w:keepLines/>
      <w:numPr>
        <w:ilvl w:val="4"/>
        <w:numId w:val="2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55A52"/>
    <w:pPr>
      <w:keepNext/>
      <w:keepLines/>
      <w:numPr>
        <w:ilvl w:val="5"/>
        <w:numId w:val="2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55A52"/>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55A52"/>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55A52"/>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A52"/>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941FAC"/>
    <w:pPr>
      <w:ind w:left="720"/>
      <w:contextualSpacing/>
    </w:pPr>
  </w:style>
  <w:style w:type="paragraph" w:styleId="FootnoteText">
    <w:name w:val="footnote text"/>
    <w:basedOn w:val="Normal"/>
    <w:link w:val="FootnoteTextChar"/>
    <w:uiPriority w:val="99"/>
    <w:unhideWhenUsed/>
    <w:rsid w:val="0056487F"/>
  </w:style>
  <w:style w:type="character" w:customStyle="1" w:styleId="FootnoteTextChar">
    <w:name w:val="Footnote Text Char"/>
    <w:basedOn w:val="DefaultParagraphFont"/>
    <w:link w:val="FootnoteText"/>
    <w:uiPriority w:val="99"/>
    <w:rsid w:val="0056487F"/>
  </w:style>
  <w:style w:type="character" w:styleId="FootnoteReference">
    <w:name w:val="footnote reference"/>
    <w:basedOn w:val="DefaultParagraphFont"/>
    <w:uiPriority w:val="99"/>
    <w:unhideWhenUsed/>
    <w:rsid w:val="0056487F"/>
    <w:rPr>
      <w:vertAlign w:val="superscript"/>
    </w:rPr>
  </w:style>
  <w:style w:type="character" w:styleId="PlaceholderText">
    <w:name w:val="Placeholder Text"/>
    <w:basedOn w:val="DefaultParagraphFont"/>
    <w:uiPriority w:val="99"/>
    <w:semiHidden/>
    <w:rsid w:val="00E451F6"/>
    <w:rPr>
      <w:color w:val="808080"/>
    </w:rPr>
  </w:style>
  <w:style w:type="paragraph" w:styleId="BalloonText">
    <w:name w:val="Balloon Text"/>
    <w:basedOn w:val="Normal"/>
    <w:link w:val="BalloonTextChar"/>
    <w:uiPriority w:val="99"/>
    <w:semiHidden/>
    <w:unhideWhenUsed/>
    <w:rsid w:val="00E451F6"/>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451F6"/>
    <w:rPr>
      <w:rFonts w:ascii="Lucida Grande" w:hAnsi="Lucida Grande"/>
      <w:sz w:val="18"/>
      <w:szCs w:val="18"/>
    </w:rPr>
  </w:style>
  <w:style w:type="paragraph" w:styleId="Header">
    <w:name w:val="header"/>
    <w:basedOn w:val="Normal"/>
    <w:link w:val="HeaderChar"/>
    <w:uiPriority w:val="99"/>
    <w:unhideWhenUsed/>
    <w:rsid w:val="008C4ECA"/>
    <w:pPr>
      <w:tabs>
        <w:tab w:val="center" w:pos="4320"/>
        <w:tab w:val="right" w:pos="8640"/>
      </w:tabs>
      <w:spacing w:after="0"/>
    </w:pPr>
  </w:style>
  <w:style w:type="character" w:customStyle="1" w:styleId="HeaderChar">
    <w:name w:val="Header Char"/>
    <w:basedOn w:val="DefaultParagraphFont"/>
    <w:link w:val="Header"/>
    <w:uiPriority w:val="99"/>
    <w:rsid w:val="008C4ECA"/>
  </w:style>
  <w:style w:type="paragraph" w:styleId="Footer">
    <w:name w:val="footer"/>
    <w:basedOn w:val="Normal"/>
    <w:link w:val="FooterChar"/>
    <w:uiPriority w:val="99"/>
    <w:unhideWhenUsed/>
    <w:rsid w:val="008C4ECA"/>
    <w:pPr>
      <w:tabs>
        <w:tab w:val="center" w:pos="4320"/>
        <w:tab w:val="right" w:pos="8640"/>
      </w:tabs>
      <w:spacing w:after="0"/>
    </w:pPr>
  </w:style>
  <w:style w:type="character" w:customStyle="1" w:styleId="FooterChar">
    <w:name w:val="Footer Char"/>
    <w:basedOn w:val="DefaultParagraphFont"/>
    <w:link w:val="Footer"/>
    <w:uiPriority w:val="99"/>
    <w:rsid w:val="008C4ECA"/>
  </w:style>
  <w:style w:type="character" w:styleId="PageNumber">
    <w:name w:val="page number"/>
    <w:basedOn w:val="DefaultParagraphFont"/>
    <w:uiPriority w:val="99"/>
    <w:semiHidden/>
    <w:unhideWhenUsed/>
    <w:rsid w:val="008C4ECA"/>
  </w:style>
  <w:style w:type="paragraph" w:styleId="Caption">
    <w:name w:val="caption"/>
    <w:basedOn w:val="Normal"/>
    <w:next w:val="Normal"/>
    <w:uiPriority w:val="35"/>
    <w:unhideWhenUsed/>
    <w:qFormat/>
    <w:rsid w:val="008B404D"/>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455A5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72DCB"/>
    <w:rPr>
      <w:color w:val="0000FF" w:themeColor="hyperlink"/>
      <w:u w:val="single"/>
    </w:rPr>
  </w:style>
  <w:style w:type="character" w:styleId="SubtleReference">
    <w:name w:val="Subtle Reference"/>
    <w:basedOn w:val="DefaultParagraphFont"/>
    <w:uiPriority w:val="31"/>
    <w:qFormat/>
    <w:rsid w:val="00647916"/>
    <w:rPr>
      <w:smallCaps/>
      <w:color w:val="C0504D" w:themeColor="accent2"/>
      <w:u w:val="single"/>
    </w:rPr>
  </w:style>
  <w:style w:type="paragraph" w:styleId="NoSpacing">
    <w:name w:val="No Spacing"/>
    <w:link w:val="NoSpacingChar"/>
    <w:qFormat/>
    <w:rsid w:val="006A5795"/>
    <w:rPr>
      <w:rFonts w:ascii="PMingLiU" w:hAnsi="PMingLiU"/>
      <w:sz w:val="22"/>
      <w:szCs w:val="22"/>
    </w:rPr>
  </w:style>
  <w:style w:type="character" w:customStyle="1" w:styleId="NoSpacingChar">
    <w:name w:val="No Spacing Char"/>
    <w:basedOn w:val="DefaultParagraphFont"/>
    <w:link w:val="NoSpacing"/>
    <w:rsid w:val="006A5795"/>
    <w:rPr>
      <w:rFonts w:ascii="PMingLiU" w:hAnsi="PMingLiU"/>
      <w:sz w:val="22"/>
      <w:szCs w:val="22"/>
    </w:rPr>
  </w:style>
  <w:style w:type="character" w:customStyle="1" w:styleId="Heading3Char">
    <w:name w:val="Heading 3 Char"/>
    <w:basedOn w:val="DefaultParagraphFont"/>
    <w:link w:val="Heading3"/>
    <w:uiPriority w:val="9"/>
    <w:rsid w:val="00455A5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55A5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55A52"/>
    <w:rPr>
      <w:rFonts w:asciiTheme="majorHAnsi" w:eastAsiaTheme="majorEastAsia" w:hAnsiTheme="majorHAnsi" w:cstheme="majorBidi"/>
      <w:color w:val="243F60" w:themeColor="accent1" w:themeShade="7F"/>
    </w:rPr>
  </w:style>
  <w:style w:type="paragraph" w:styleId="TOC1">
    <w:name w:val="toc 1"/>
    <w:basedOn w:val="Normal"/>
    <w:next w:val="Normal"/>
    <w:autoRedefine/>
    <w:uiPriority w:val="39"/>
    <w:unhideWhenUsed/>
    <w:rsid w:val="002246F1"/>
  </w:style>
  <w:style w:type="paragraph" w:styleId="TOC2">
    <w:name w:val="toc 2"/>
    <w:basedOn w:val="Normal"/>
    <w:next w:val="Normal"/>
    <w:autoRedefine/>
    <w:uiPriority w:val="39"/>
    <w:unhideWhenUsed/>
    <w:rsid w:val="002246F1"/>
    <w:pPr>
      <w:ind w:left="240"/>
    </w:pPr>
  </w:style>
  <w:style w:type="paragraph" w:styleId="TOC3">
    <w:name w:val="toc 3"/>
    <w:basedOn w:val="Normal"/>
    <w:next w:val="Normal"/>
    <w:autoRedefine/>
    <w:uiPriority w:val="39"/>
    <w:unhideWhenUsed/>
    <w:rsid w:val="002246F1"/>
    <w:pPr>
      <w:ind w:left="480"/>
    </w:pPr>
  </w:style>
  <w:style w:type="paragraph" w:styleId="TOC4">
    <w:name w:val="toc 4"/>
    <w:basedOn w:val="Normal"/>
    <w:next w:val="Normal"/>
    <w:autoRedefine/>
    <w:uiPriority w:val="39"/>
    <w:unhideWhenUsed/>
    <w:rsid w:val="002246F1"/>
    <w:pPr>
      <w:ind w:left="720"/>
    </w:pPr>
  </w:style>
  <w:style w:type="paragraph" w:styleId="TOC5">
    <w:name w:val="toc 5"/>
    <w:basedOn w:val="Normal"/>
    <w:next w:val="Normal"/>
    <w:autoRedefine/>
    <w:uiPriority w:val="39"/>
    <w:unhideWhenUsed/>
    <w:rsid w:val="002246F1"/>
    <w:pPr>
      <w:ind w:left="960"/>
    </w:pPr>
  </w:style>
  <w:style w:type="paragraph" w:styleId="TOC6">
    <w:name w:val="toc 6"/>
    <w:basedOn w:val="Normal"/>
    <w:next w:val="Normal"/>
    <w:autoRedefine/>
    <w:uiPriority w:val="39"/>
    <w:unhideWhenUsed/>
    <w:rsid w:val="002246F1"/>
    <w:pPr>
      <w:ind w:left="1200"/>
    </w:pPr>
  </w:style>
  <w:style w:type="paragraph" w:styleId="TOC7">
    <w:name w:val="toc 7"/>
    <w:basedOn w:val="Normal"/>
    <w:next w:val="Normal"/>
    <w:autoRedefine/>
    <w:uiPriority w:val="39"/>
    <w:unhideWhenUsed/>
    <w:rsid w:val="002246F1"/>
    <w:pPr>
      <w:ind w:left="1440"/>
    </w:pPr>
  </w:style>
  <w:style w:type="paragraph" w:styleId="TOC8">
    <w:name w:val="toc 8"/>
    <w:basedOn w:val="Normal"/>
    <w:next w:val="Normal"/>
    <w:autoRedefine/>
    <w:uiPriority w:val="39"/>
    <w:unhideWhenUsed/>
    <w:rsid w:val="002246F1"/>
    <w:pPr>
      <w:ind w:left="1680"/>
    </w:pPr>
  </w:style>
  <w:style w:type="paragraph" w:styleId="TOC9">
    <w:name w:val="toc 9"/>
    <w:basedOn w:val="Normal"/>
    <w:next w:val="Normal"/>
    <w:autoRedefine/>
    <w:uiPriority w:val="39"/>
    <w:unhideWhenUsed/>
    <w:rsid w:val="002246F1"/>
    <w:pPr>
      <w:ind w:left="1920"/>
    </w:pPr>
  </w:style>
  <w:style w:type="paragraph" w:styleId="TableofFigures">
    <w:name w:val="table of figures"/>
    <w:basedOn w:val="Normal"/>
    <w:next w:val="Normal"/>
    <w:uiPriority w:val="99"/>
    <w:unhideWhenUsed/>
    <w:rsid w:val="002246F1"/>
    <w:pPr>
      <w:ind w:left="480" w:hanging="480"/>
    </w:pPr>
  </w:style>
  <w:style w:type="paragraph" w:customStyle="1" w:styleId="EndNoteBibliographyTitle">
    <w:name w:val="EndNote Bibliography Title"/>
    <w:basedOn w:val="Normal"/>
    <w:rsid w:val="006A52C6"/>
    <w:pPr>
      <w:spacing w:after="0"/>
      <w:jc w:val="center"/>
    </w:pPr>
    <w:rPr>
      <w:rFonts w:ascii="Cambria" w:hAnsi="Cambria"/>
    </w:rPr>
  </w:style>
  <w:style w:type="paragraph" w:customStyle="1" w:styleId="EndNoteBibliography">
    <w:name w:val="EndNote Bibliography"/>
    <w:basedOn w:val="Normal"/>
    <w:rsid w:val="006A52C6"/>
    <w:rPr>
      <w:rFonts w:ascii="Cambria" w:hAnsi="Cambria"/>
    </w:rPr>
  </w:style>
  <w:style w:type="character" w:customStyle="1" w:styleId="Heading6Char">
    <w:name w:val="Heading 6 Char"/>
    <w:basedOn w:val="DefaultParagraphFont"/>
    <w:link w:val="Heading6"/>
    <w:uiPriority w:val="9"/>
    <w:semiHidden/>
    <w:rsid w:val="00455A5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55A5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55A5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55A52"/>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92913BE552AA745BD635E2C23A56825"/>
        <w:category>
          <w:name w:val="General"/>
          <w:gallery w:val="placeholder"/>
        </w:category>
        <w:types>
          <w:type w:val="bbPlcHdr"/>
        </w:types>
        <w:behaviors>
          <w:behavior w:val="content"/>
        </w:behaviors>
        <w:guid w:val="{07BABF9C-4738-9243-A945-788B32C184F6}"/>
      </w:docPartPr>
      <w:docPartBody>
        <w:p w:rsidR="003E174F" w:rsidRDefault="003E174F" w:rsidP="003E174F">
          <w:pPr>
            <w:pStyle w:val="592913BE552AA745BD635E2C23A56825"/>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panose1 w:val="02020500000000000000"/>
    <w:charset w:val="88"/>
    <w:family w:val="auto"/>
    <w:pitch w:val="variable"/>
    <w:sig w:usb0="A00002FF" w:usb1="28CFFCFA" w:usb2="00000016" w:usb3="00000000" w:csb0="001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74F"/>
    <w:rsid w:val="00032801"/>
    <w:rsid w:val="00245FB3"/>
    <w:rsid w:val="003E174F"/>
    <w:rsid w:val="00541D77"/>
    <w:rsid w:val="005E38FD"/>
    <w:rsid w:val="006471A5"/>
    <w:rsid w:val="00C202B7"/>
    <w:rsid w:val="00D33EDD"/>
    <w:rsid w:val="00DF6D0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B7DC1162BFC840A8214EC8655BC7D9">
    <w:name w:val="8AB7DC1162BFC840A8214EC8655BC7D9"/>
    <w:rsid w:val="003E174F"/>
  </w:style>
  <w:style w:type="paragraph" w:customStyle="1" w:styleId="B42DDD0801028A4788FF2BEEFDECBD5F">
    <w:name w:val="B42DDD0801028A4788FF2BEEFDECBD5F"/>
    <w:rsid w:val="003E174F"/>
  </w:style>
  <w:style w:type="paragraph" w:customStyle="1" w:styleId="FD64D08D45B5C648B32B3D8BFC9DE806">
    <w:name w:val="FD64D08D45B5C648B32B3D8BFC9DE806"/>
    <w:rsid w:val="003E174F"/>
  </w:style>
  <w:style w:type="paragraph" w:customStyle="1" w:styleId="7E00571FA1A3E24D99E8E4D319A25A59">
    <w:name w:val="7E00571FA1A3E24D99E8E4D319A25A59"/>
    <w:rsid w:val="003E174F"/>
  </w:style>
  <w:style w:type="paragraph" w:customStyle="1" w:styleId="DBB175CF1ACD4947B0351DDF060302F4">
    <w:name w:val="DBB175CF1ACD4947B0351DDF060302F4"/>
    <w:rsid w:val="003E174F"/>
  </w:style>
  <w:style w:type="paragraph" w:customStyle="1" w:styleId="B242E3FA982A2E46920A31A511B7953B">
    <w:name w:val="B242E3FA982A2E46920A31A511B7953B"/>
    <w:rsid w:val="003E174F"/>
  </w:style>
  <w:style w:type="character" w:styleId="PlaceholderText">
    <w:name w:val="Placeholder Text"/>
    <w:basedOn w:val="DefaultParagraphFont"/>
    <w:uiPriority w:val="99"/>
    <w:semiHidden/>
    <w:rsid w:val="00C202B7"/>
    <w:rPr>
      <w:color w:val="808080"/>
    </w:rPr>
  </w:style>
  <w:style w:type="paragraph" w:customStyle="1" w:styleId="592913BE552AA745BD635E2C23A56825">
    <w:name w:val="592913BE552AA745BD635E2C23A56825"/>
    <w:rsid w:val="003E174F"/>
  </w:style>
  <w:style w:type="paragraph" w:customStyle="1" w:styleId="A261649B51116949AB6758933930DC1F">
    <w:name w:val="A261649B51116949AB6758933930DC1F"/>
    <w:rsid w:val="003E17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1F6867-9D82-074A-B5CD-7F46C6155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509</Words>
  <Characters>2906</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PNNL</Company>
  <LinksUpToDate>false</LinksUpToDate>
  <CharactersWithSpaces>3409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McDermott</dc:creator>
  <cp:keywords/>
  <dc:description/>
  <cp:lastModifiedBy>McDermott, Thomas E</cp:lastModifiedBy>
  <cp:revision>25</cp:revision>
  <cp:lastPrinted>2017-06-20T23:16:00Z</cp:lastPrinted>
  <dcterms:created xsi:type="dcterms:W3CDTF">2017-06-20T20:00:00Z</dcterms:created>
  <dcterms:modified xsi:type="dcterms:W3CDTF">2017-06-21T18:48:00Z</dcterms:modified>
</cp:coreProperties>
</file>