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7.png" ContentType="image/png"/>
  <Override PartName="/word/media/rId114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5.png" ContentType="image/png"/>
  <Override PartName="/word/media/rId138.png" ContentType="image/png"/>
  <Override PartName="/word/media/rId143.png" ContentType="image/png"/>
  <Override PartName="/word/media/rId146.png" ContentType="image/png"/>
  <Override PartName="/word/media/rId30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5.png" ContentType="image/png"/>
  <Override PartName="/word/media/rId178.png" ContentType="image/png"/>
  <Override PartName="/word/media/rId33.png" ContentType="image/png"/>
  <Override PartName="/word/media/rId181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Дудырев</w:t>
      </w:r>
      <w:r>
        <w:t xml:space="preserve"> </w:t>
      </w:r>
      <w:r>
        <w:t xml:space="preserve">Глеб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основами кибербезопасности</w:t>
      </w:r>
    </w:p>
    <w:bookmarkEnd w:id="20"/>
    <w:bookmarkStart w:id="91" w:name="безопасность-в-сет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Безопасность в сети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 базовые сетевые протоколы</w:t>
      </w:r>
    </w:p>
    <w:p>
      <w:pPr>
        <w:pStyle w:val="Compact"/>
        <w:numPr>
          <w:ilvl w:val="0"/>
          <w:numId w:val="1001"/>
        </w:numPr>
      </w:pPr>
      <w:r>
        <w:t xml:space="preserve">Протоколом прикладного уровня является протокол HTTPS, он отвечает за работу с приложениями. (рис. 1)</w:t>
      </w:r>
    </w:p>
    <w:p>
      <w:pPr>
        <w:pStyle w:val="CaptionedFigure"/>
      </w:pPr>
      <w:r>
        <w:drawing>
          <wp:inline>
            <wp:extent cx="3733800" cy="1864109"/>
            <wp:effectExtent b="0" l="0" r="0" t="0"/>
            <wp:docPr descr="Задание 1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1.1.1</w:t>
      </w:r>
    </w:p>
    <w:p>
      <w:pPr>
        <w:pStyle w:val="Compact"/>
        <w:numPr>
          <w:ilvl w:val="0"/>
          <w:numId w:val="1002"/>
        </w:numPr>
      </w:pPr>
      <w:r>
        <w:t xml:space="preserve">Протокол TCP отвечает за передачу данных внутри одной машины, следовательно, он работает на транспортном уровне. (рис. 2)</w:t>
      </w:r>
    </w:p>
    <w:p>
      <w:pPr>
        <w:pStyle w:val="CaptionedFigure"/>
      </w:pPr>
      <w:r>
        <w:drawing>
          <wp:inline>
            <wp:extent cx="3733800" cy="1855602"/>
            <wp:effectExtent b="0" l="0" r="0" t="0"/>
            <wp:docPr descr="Задание 1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1.1.2</w:t>
      </w:r>
    </w:p>
    <w:p>
      <w:pPr>
        <w:pStyle w:val="Compact"/>
        <w:numPr>
          <w:ilvl w:val="0"/>
          <w:numId w:val="1003"/>
        </w:numPr>
      </w:pPr>
      <w:r>
        <w:t xml:space="preserve">Адреса IPv4 состает из 4 чисел от 0 до 255. (рис. 3)</w:t>
      </w:r>
    </w:p>
    <w:p>
      <w:pPr>
        <w:pStyle w:val="CaptionedFigure"/>
      </w:pPr>
      <w:r>
        <w:drawing>
          <wp:inline>
            <wp:extent cx="3733800" cy="1905231"/>
            <wp:effectExtent b="0" l="0" r="0" t="0"/>
            <wp:docPr descr="Задание 1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1.1.3</w:t>
      </w:r>
    </w:p>
    <w:p>
      <w:pPr>
        <w:pStyle w:val="Compact"/>
        <w:numPr>
          <w:ilvl w:val="0"/>
          <w:numId w:val="1004"/>
        </w:numPr>
      </w:pPr>
      <w:r>
        <w:t xml:space="preserve">Функцие DNS сервера является: соспоставить доменный и IP адреса. (рис. 4)</w:t>
      </w:r>
    </w:p>
    <w:p>
      <w:pPr>
        <w:pStyle w:val="CaptionedFigure"/>
      </w:pPr>
      <w:r>
        <w:drawing>
          <wp:inline>
            <wp:extent cx="3733800" cy="1861164"/>
            <wp:effectExtent b="0" l="0" r="0" t="0"/>
            <wp:docPr descr="Задание 1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1.1.4</w:t>
      </w:r>
    </w:p>
    <w:p>
      <w:pPr>
        <w:pStyle w:val="Compact"/>
        <w:numPr>
          <w:ilvl w:val="0"/>
          <w:numId w:val="1005"/>
        </w:numPr>
      </w:pPr>
      <w:r>
        <w:t xml:space="preserve">Модель TCP/IP состоит из следующих уровней: прикладной(работа с приложением) - траспортный(передача информации внутри машины) - сетевой(передача информации по сети) - канальный(работа с информацией на физическом уровне). (рис. 5)</w:t>
      </w:r>
    </w:p>
    <w:p>
      <w:pPr>
        <w:pStyle w:val="CaptionedFigure"/>
      </w:pPr>
      <w:r>
        <w:drawing>
          <wp:inline>
            <wp:extent cx="3733800" cy="1639921"/>
            <wp:effectExtent b="0" l="0" r="0" t="0"/>
            <wp:docPr descr="Задание 1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1.1.5</w:t>
      </w:r>
    </w:p>
    <w:p>
      <w:pPr>
        <w:pStyle w:val="Compact"/>
        <w:numPr>
          <w:ilvl w:val="0"/>
          <w:numId w:val="1006"/>
        </w:numPr>
      </w:pPr>
      <w:r>
        <w:t xml:space="preserve">Протокол HTTP предполагает передачу данных в открытом виде, а протокол HTTPS, который использует TLS, передает зашифрованные даннные. (рис. 6)</w:t>
      </w:r>
    </w:p>
    <w:p>
      <w:pPr>
        <w:pStyle w:val="CaptionedFigure"/>
      </w:pPr>
      <w:r>
        <w:drawing>
          <wp:inline>
            <wp:extent cx="3733800" cy="1652851"/>
            <wp:effectExtent b="0" l="0" r="0" t="0"/>
            <wp:docPr descr="Задание 1.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1.1.6</w:t>
      </w:r>
    </w:p>
    <w:p>
      <w:pPr>
        <w:pStyle w:val="Compact"/>
        <w:numPr>
          <w:ilvl w:val="0"/>
          <w:numId w:val="1007"/>
        </w:numPr>
      </w:pPr>
      <w:r>
        <w:t xml:space="preserve">Так как http не использует TLS при передаче данных, то этот протокол состоит из двух фаз: рукопожатие и передача данных. (рис. 7)</w:t>
      </w:r>
    </w:p>
    <w:p>
      <w:pPr>
        <w:pStyle w:val="CaptionedFigure"/>
      </w:pPr>
      <w:r>
        <w:drawing>
          <wp:inline>
            <wp:extent cx="3733800" cy="1834346"/>
            <wp:effectExtent b="0" l="0" r="0" t="0"/>
            <wp:docPr descr="Задание 1.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1.1.7</w:t>
      </w:r>
    </w:p>
    <w:p>
      <w:pPr>
        <w:pStyle w:val="Compact"/>
        <w:numPr>
          <w:ilvl w:val="0"/>
          <w:numId w:val="1008"/>
        </w:numPr>
      </w:pPr>
      <w:r>
        <w:t xml:space="preserve">Версию TLS клиент и сервер определяют во время</w:t>
      </w:r>
      <w:r>
        <w:t xml:space="preserve"> </w:t>
      </w:r>
      <w:r>
        <w:t xml:space="preserve">‘</w:t>
      </w:r>
      <w:r>
        <w:t xml:space="preserve">переговоров</w:t>
      </w:r>
      <w:r>
        <w:t xml:space="preserve">’</w:t>
      </w:r>
      <w:r>
        <w:t xml:space="preserve">. (рис. 8)</w:t>
      </w:r>
    </w:p>
    <w:p>
      <w:pPr>
        <w:pStyle w:val="CaptionedFigure"/>
      </w:pPr>
      <w:r>
        <w:drawing>
          <wp:inline>
            <wp:extent cx="3733800" cy="1809305"/>
            <wp:effectExtent b="0" l="0" r="0" t="0"/>
            <wp:docPr descr="Задание 1.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1.1.8</w:t>
      </w:r>
    </w:p>
    <w:p>
      <w:pPr>
        <w:pStyle w:val="Compact"/>
        <w:numPr>
          <w:ilvl w:val="0"/>
          <w:numId w:val="1009"/>
        </w:numPr>
      </w:pPr>
      <w:r>
        <w:t xml:space="preserve">В протоколе TLS шифрование данных предусмотрено в фазе:</w:t>
      </w:r>
      <w:r>
        <w:t xml:space="preserve"> </w:t>
      </w:r>
      <w:r>
        <w:t xml:space="preserve">“</w:t>
      </w:r>
      <w:r>
        <w:t xml:space="preserve">Данных</w:t>
      </w:r>
      <w:r>
        <w:t xml:space="preserve">”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1834736"/>
            <wp:effectExtent b="0" l="0" r="0" t="0"/>
            <wp:docPr descr="Задание 1.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1.1.9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Compact"/>
        <w:numPr>
          <w:ilvl w:val="0"/>
          <w:numId w:val="1010"/>
        </w:numPr>
      </w:pPr>
      <w:r>
        <w:t xml:space="preserve">Куки хранят id пользователя и id сессии, а также информацию о действиях пользователя на сайте.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</w:t>
      </w:r>
    </w:p>
    <w:p>
      <w:pPr>
        <w:pStyle w:val="CaptionedFigure"/>
      </w:pPr>
      <w:r>
        <w:drawing>
          <wp:inline>
            <wp:extent cx="3733800" cy="2023282"/>
            <wp:effectExtent b="0" l="0" r="0" t="0"/>
            <wp:docPr descr="Задание 1.2.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1.2.1</w:t>
      </w:r>
    </w:p>
    <w:p>
      <w:pPr>
        <w:pStyle w:val="Compact"/>
        <w:numPr>
          <w:ilvl w:val="0"/>
          <w:numId w:val="1011"/>
        </w:numPr>
      </w:pPr>
      <w:r>
        <w:t xml:space="preserve">Куки не используются для улучшения надежности соединения, они служат для того, чтобы сохранять информацию о сессии на сервере. 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)</w:t>
      </w:r>
    </w:p>
    <w:p>
      <w:pPr>
        <w:pStyle w:val="CaptionedFigure"/>
      </w:pPr>
      <w:r>
        <w:drawing>
          <wp:inline>
            <wp:extent cx="3733800" cy="1905678"/>
            <wp:effectExtent b="0" l="0" r="0" t="0"/>
            <wp:docPr descr="Задание 1.2.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1.2.2</w:t>
      </w:r>
    </w:p>
    <w:p>
      <w:pPr>
        <w:pStyle w:val="Compact"/>
        <w:numPr>
          <w:ilvl w:val="0"/>
          <w:numId w:val="1012"/>
        </w:numPr>
      </w:pPr>
      <w:r>
        <w:t xml:space="preserve">Сервер генерирует куки и возвращает их вместе с ответом на запрос. (рис.</w:t>
      </w:r>
      <w:r>
        <w:t xml:space="preserve"> </w:t>
      </w:r>
      <w:r>
        <w:rPr>
          <w:b/>
          <w:bCs/>
        </w:rPr>
        <w:t xml:space="preserve">¿fig:012?</w:t>
      </w:r>
      <w:r>
        <w:t xml:space="preserve">)</w:t>
      </w:r>
    </w:p>
    <w:p>
      <w:pPr>
        <w:pStyle w:val="CaptionedFigure"/>
      </w:pPr>
      <w:r>
        <w:drawing>
          <wp:inline>
            <wp:extent cx="3733800" cy="1647432"/>
            <wp:effectExtent b="0" l="0" r="0" t="0"/>
            <wp:docPr descr="Задание 1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1.2.3</w:t>
      </w:r>
    </w:p>
    <w:p>
      <w:pPr>
        <w:pStyle w:val="Compact"/>
        <w:numPr>
          <w:ilvl w:val="0"/>
          <w:numId w:val="1013"/>
        </w:numPr>
      </w:pPr>
      <w:r>
        <w:t xml:space="preserve">Куки бывают сессионные и постоянные, первые хранятся на сервере и удаляются после закрытия сайта. (рис. 13)</w:t>
      </w:r>
    </w:p>
    <w:p>
      <w:pPr>
        <w:pStyle w:val="CaptionedFigure"/>
      </w:pPr>
      <w:r>
        <w:drawing>
          <wp:inline>
            <wp:extent cx="3733800" cy="1750667"/>
            <wp:effectExtent b="0" l="0" r="0" t="0"/>
            <wp:docPr descr="Задание 1.2.4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1.2.4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Compact"/>
        <w:numPr>
          <w:ilvl w:val="0"/>
          <w:numId w:val="1014"/>
        </w:numPr>
      </w:pPr>
      <w:r>
        <w:t xml:space="preserve">В луковой маршрутизации существует три узла: охранный, промежуточный и выходной. (рис. 14)</w:t>
      </w:r>
    </w:p>
    <w:p>
      <w:pPr>
        <w:pStyle w:val="CaptionedFigure"/>
      </w:pPr>
      <w:r>
        <w:drawing>
          <wp:inline>
            <wp:extent cx="3733800" cy="1718777"/>
            <wp:effectExtent b="0" l="0" r="0" t="0"/>
            <wp:docPr descr="Задание 1.3.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1.3.1</w:t>
      </w:r>
    </w:p>
    <w:p>
      <w:pPr>
        <w:pStyle w:val="Compact"/>
        <w:numPr>
          <w:ilvl w:val="0"/>
          <w:numId w:val="1015"/>
        </w:numPr>
      </w:pPr>
      <w:r>
        <w:t xml:space="preserve">В луковой маршрутизации IP адрес получателя известен: отправителю и выходному узлу. (рис. 15)</w:t>
      </w:r>
    </w:p>
    <w:p>
      <w:pPr>
        <w:pStyle w:val="CaptionedFigure"/>
      </w:pPr>
      <w:r>
        <w:drawing>
          <wp:inline>
            <wp:extent cx="3733800" cy="2136830"/>
            <wp:effectExtent b="0" l="0" r="0" t="0"/>
            <wp:docPr descr="Задание 1.3.2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1.3.2</w:t>
      </w:r>
    </w:p>
    <w:p>
      <w:pPr>
        <w:pStyle w:val="Compact"/>
        <w:numPr>
          <w:ilvl w:val="0"/>
          <w:numId w:val="1016"/>
        </w:numPr>
      </w:pPr>
      <w:r>
        <w:t xml:space="preserve">Отправитель генерирует три общих секретных ключа: для охранного узла, для промежуточного и для выходного. (рис. 16)</w:t>
      </w:r>
    </w:p>
    <w:p>
      <w:pPr>
        <w:pStyle w:val="CaptionedFigure"/>
      </w:pPr>
      <w:r>
        <w:drawing>
          <wp:inline>
            <wp:extent cx="3733800" cy="1882492"/>
            <wp:effectExtent b="0" l="0" r="0" t="0"/>
            <wp:docPr descr="Задание 1.3.3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1.3.3</w:t>
      </w:r>
    </w:p>
    <w:p>
      <w:pPr>
        <w:pStyle w:val="Compact"/>
        <w:numPr>
          <w:ilvl w:val="0"/>
          <w:numId w:val="1017"/>
        </w:numPr>
      </w:pPr>
      <w:r>
        <w:t xml:space="preserve">Браузер Tor используется для анонимизации, а не для гарантии успешного получения пакетов. (рис. 17)</w:t>
      </w:r>
    </w:p>
    <w:p>
      <w:pPr>
        <w:pStyle w:val="CaptionedFigure"/>
      </w:pPr>
      <w:r>
        <w:drawing>
          <wp:inline>
            <wp:extent cx="3733800" cy="1718058"/>
            <wp:effectExtent b="0" l="0" r="0" t="0"/>
            <wp:docPr descr="Задание 1.3.4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1.3.4</w:t>
      </w:r>
    </w:p>
    <w:bookmarkEnd w:id="74"/>
    <w:bookmarkStart w:id="90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Compact"/>
        <w:numPr>
          <w:ilvl w:val="0"/>
          <w:numId w:val="1018"/>
        </w:numPr>
      </w:pPr>
      <w:r>
        <w:t xml:space="preserve">Wi-fi - это технология беспроводной локальной сети, работающая в соответствии со стандартом IEEE 802.11. (рис. 18)</w:t>
      </w:r>
    </w:p>
    <w:p>
      <w:pPr>
        <w:pStyle w:val="CaptionedFigure"/>
      </w:pPr>
      <w:r>
        <w:drawing>
          <wp:inline>
            <wp:extent cx="3733800" cy="1849979"/>
            <wp:effectExtent b="0" l="0" r="0" t="0"/>
            <wp:docPr descr="Задание 1.4.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1.4.1</w:t>
      </w:r>
    </w:p>
    <w:p>
      <w:pPr>
        <w:pStyle w:val="Compact"/>
        <w:numPr>
          <w:ilvl w:val="0"/>
          <w:numId w:val="1019"/>
        </w:numPr>
      </w:pPr>
      <w:r>
        <w:t xml:space="preserve">Протокол Wi-fi работает на самом низком канальном уровне, как Ethernet. (рис. 19)</w:t>
      </w:r>
    </w:p>
    <w:p>
      <w:pPr>
        <w:pStyle w:val="CaptionedFigure"/>
      </w:pPr>
      <w:r>
        <w:drawing>
          <wp:inline>
            <wp:extent cx="3733800" cy="1864067"/>
            <wp:effectExtent b="0" l="0" r="0" t="0"/>
            <wp:docPr descr="Задание 1.4.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1.4.2</w:t>
      </w:r>
    </w:p>
    <w:p>
      <w:pPr>
        <w:pStyle w:val="Compact"/>
        <w:numPr>
          <w:ilvl w:val="0"/>
          <w:numId w:val="1020"/>
        </w:numPr>
      </w:pPr>
      <w:r>
        <w:t xml:space="preserve">WEP является небезопасным методом шифрования, так как имеет очень короткую длину ключа. (рис. 20)</w:t>
      </w:r>
    </w:p>
    <w:p>
      <w:pPr>
        <w:pStyle w:val="CaptionedFigure"/>
      </w:pPr>
      <w:r>
        <w:drawing>
          <wp:inline>
            <wp:extent cx="3733800" cy="1824376"/>
            <wp:effectExtent b="0" l="0" r="0" t="0"/>
            <wp:docPr descr="Задание 1.4.3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1.4.3</w:t>
      </w:r>
    </w:p>
    <w:p>
      <w:pPr>
        <w:pStyle w:val="Compact"/>
        <w:numPr>
          <w:ilvl w:val="0"/>
          <w:numId w:val="1021"/>
        </w:numPr>
      </w:pPr>
      <w:r>
        <w:t xml:space="preserve">Данные между хостом сети и роутером передаются в зашифрованном виде, после аутентификации, чтобы их нельзя было перехватить. (рис. 21)</w:t>
      </w:r>
    </w:p>
    <w:p>
      <w:pPr>
        <w:pStyle w:val="CaptionedFigure"/>
      </w:pPr>
      <w:r>
        <w:drawing>
          <wp:inline>
            <wp:extent cx="3733800" cy="1827118"/>
            <wp:effectExtent b="0" l="0" r="0" t="0"/>
            <wp:docPr descr="Задание 1.4.4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1.4.4</w:t>
      </w:r>
    </w:p>
    <w:p>
      <w:pPr>
        <w:pStyle w:val="Compact"/>
        <w:numPr>
          <w:ilvl w:val="0"/>
          <w:numId w:val="1022"/>
        </w:numPr>
      </w:pPr>
      <w:r>
        <w:t xml:space="preserve">Для домашней сети для аутентификации обычно используется метод Personal(подключение по поролю), второй метод используется для больших корпоративных сетей, он проверяет есть ли пользователь в базе данных. (рис. 22)</w:t>
      </w:r>
    </w:p>
    <w:p>
      <w:pPr>
        <w:pStyle w:val="CaptionedFigure"/>
      </w:pPr>
      <w:r>
        <w:drawing>
          <wp:inline>
            <wp:extent cx="3733800" cy="1631954"/>
            <wp:effectExtent b="0" l="0" r="0" t="0"/>
            <wp:docPr descr="Задание 1.4.5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1.4.5</w:t>
      </w:r>
    </w:p>
    <w:bookmarkEnd w:id="90"/>
    <w:bookmarkEnd w:id="91"/>
    <w:bookmarkStart w:id="142" w:name="защита-пктелефон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Защита ПК/телефона</w:t>
      </w:r>
    </w:p>
    <w:bookmarkStart w:id="101" w:name="шифрование-дис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Шифрование диска</w:t>
      </w:r>
    </w:p>
    <w:p>
      <w:pPr>
        <w:pStyle w:val="Compact"/>
        <w:numPr>
          <w:ilvl w:val="0"/>
          <w:numId w:val="1023"/>
        </w:numPr>
      </w:pPr>
      <w:r>
        <w:t xml:space="preserve">Можно зашифровать любой сектор диска. (рис. 23)</w:t>
      </w:r>
    </w:p>
    <w:p>
      <w:pPr>
        <w:pStyle w:val="CaptionedFigure"/>
      </w:pPr>
      <w:r>
        <w:drawing>
          <wp:inline>
            <wp:extent cx="3733800" cy="1649094"/>
            <wp:effectExtent b="0" l="0" r="0" t="0"/>
            <wp:docPr descr="Задание 2.1.1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2.1.1</w:t>
      </w:r>
    </w:p>
    <w:p>
      <w:pPr>
        <w:pStyle w:val="Compact"/>
        <w:numPr>
          <w:ilvl w:val="0"/>
          <w:numId w:val="1024"/>
        </w:numPr>
      </w:pPr>
      <w:r>
        <w:t xml:space="preserve">Для шифрования диска используется симметричное шифрование, то есть один секретный ключ для шифрования и дешифрования данных. (рис. 24)</w:t>
      </w:r>
    </w:p>
    <w:p>
      <w:pPr>
        <w:pStyle w:val="CaptionedFigure"/>
      </w:pPr>
      <w:r>
        <w:drawing>
          <wp:inline>
            <wp:extent cx="3733800" cy="1754914"/>
            <wp:effectExtent b="0" l="0" r="0" t="0"/>
            <wp:docPr descr="Задание 2.1.2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2.1.2</w:t>
      </w:r>
    </w:p>
    <w:p>
      <w:pPr>
        <w:pStyle w:val="Compact"/>
        <w:numPr>
          <w:ilvl w:val="0"/>
          <w:numId w:val="1025"/>
        </w:numPr>
      </w:pPr>
      <w:r>
        <w:t xml:space="preserve">BitLocker - для Windows, в Linux – LUKS, в MacOS – это FileVault. (рис. 25)</w:t>
      </w:r>
    </w:p>
    <w:p>
      <w:pPr>
        <w:pStyle w:val="CaptionedFigure"/>
      </w:pPr>
      <w:r>
        <w:drawing>
          <wp:inline>
            <wp:extent cx="3733800" cy="2072131"/>
            <wp:effectExtent b="0" l="0" r="0" t="0"/>
            <wp:docPr descr="Задание 2.1.3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2.1.3</w:t>
      </w:r>
    </w:p>
    <w:bookmarkEnd w:id="101"/>
    <w:bookmarkStart w:id="120" w:name="парол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Пароли</w:t>
      </w:r>
    </w:p>
    <w:p>
      <w:pPr>
        <w:pStyle w:val="Compact"/>
        <w:numPr>
          <w:ilvl w:val="0"/>
          <w:numId w:val="1026"/>
        </w:numPr>
      </w:pPr>
      <w:r>
        <w:t xml:space="preserve">Стойкий пароль не должен быть коротким и должен состоять из различных символов, букв разного регистра и цифр. (рис. 26)</w:t>
      </w:r>
    </w:p>
    <w:p>
      <w:pPr>
        <w:pStyle w:val="CaptionedFigure"/>
      </w:pPr>
      <w:r>
        <w:drawing>
          <wp:inline>
            <wp:extent cx="3733800" cy="1516181"/>
            <wp:effectExtent b="0" l="0" r="0" t="0"/>
            <wp:docPr descr="Задание 2.2.1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2.2.1</w:t>
      </w:r>
    </w:p>
    <w:p>
      <w:pPr>
        <w:pStyle w:val="Compact"/>
        <w:numPr>
          <w:ilvl w:val="0"/>
          <w:numId w:val="1027"/>
        </w:numPr>
      </w:pPr>
      <w:r>
        <w:t xml:space="preserve">Пароли необзодимо хранить в безопасном месте, чтобы их не смогли обнаружить случайно, например, в менеджерах для паролей. (рис. 27)</w:t>
      </w:r>
    </w:p>
    <w:p>
      <w:pPr>
        <w:pStyle w:val="CaptionedFigure"/>
      </w:pPr>
      <w:r>
        <w:drawing>
          <wp:inline>
            <wp:extent cx="3733800" cy="1677705"/>
            <wp:effectExtent b="0" l="0" r="0" t="0"/>
            <wp:docPr descr="Задание 2.2.2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2.2.2</w:t>
      </w:r>
    </w:p>
    <w:p>
      <w:pPr>
        <w:pStyle w:val="Compact"/>
        <w:numPr>
          <w:ilvl w:val="0"/>
          <w:numId w:val="1028"/>
        </w:numPr>
      </w:pPr>
      <w:r>
        <w:t xml:space="preserve">Капча используется для предотвращения запросов к серверу со стороны ботов, что затрудняет автоматизированный перебор паролей. (рис. 28)</w:t>
      </w:r>
    </w:p>
    <w:p>
      <w:pPr>
        <w:pStyle w:val="CaptionedFigure"/>
      </w:pPr>
      <w:r>
        <w:drawing>
          <wp:inline>
            <wp:extent cx="3733800" cy="1596213"/>
            <wp:effectExtent b="0" l="0" r="0" t="0"/>
            <wp:docPr descr="Задание 2.2.3" title="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2.2.3</w:t>
      </w:r>
    </w:p>
    <w:p>
      <w:pPr>
        <w:pStyle w:val="Compact"/>
        <w:numPr>
          <w:ilvl w:val="0"/>
          <w:numId w:val="1029"/>
        </w:numPr>
      </w:pPr>
      <w:r>
        <w:t xml:space="preserve">Хэширование паролей используется серверами, чтобы не хранить пароль в открытом виде, а вместо него хранить результат применения хэш-функции к паролю. (рис. 29)</w:t>
      </w:r>
    </w:p>
    <w:p>
      <w:pPr>
        <w:pStyle w:val="CaptionedFigure"/>
      </w:pPr>
      <w:r>
        <w:drawing>
          <wp:inline>
            <wp:extent cx="3733800" cy="1591596"/>
            <wp:effectExtent b="0" l="0" r="0" t="0"/>
            <wp:docPr descr="Задание 2.2.4" title="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2.2.4</w:t>
      </w:r>
    </w:p>
    <w:p>
      <w:pPr>
        <w:pStyle w:val="Compact"/>
        <w:numPr>
          <w:ilvl w:val="0"/>
          <w:numId w:val="1030"/>
        </w:numPr>
      </w:pPr>
      <w:r>
        <w:t xml:space="preserve">Ответ нет, так как соль используется для того, чтобы не хранить результат хэширования часто используемого пароля, так как если злоумышленник получит доступ к серверу, где хранятся хэш-пароли, он сразу поймет прообраз хэширования. (рис. 30)</w:t>
      </w:r>
    </w:p>
    <w:p>
      <w:pPr>
        <w:pStyle w:val="CaptionedFigure"/>
      </w:pPr>
      <w:r>
        <w:drawing>
          <wp:inline>
            <wp:extent cx="3733800" cy="1406388"/>
            <wp:effectExtent b="0" l="0" r="0" t="0"/>
            <wp:docPr descr="Задание 2.2.5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2.2.5</w:t>
      </w:r>
    </w:p>
    <w:p>
      <w:pPr>
        <w:pStyle w:val="Compact"/>
        <w:numPr>
          <w:ilvl w:val="0"/>
          <w:numId w:val="1031"/>
        </w:numPr>
      </w:pPr>
      <w:r>
        <w:t xml:space="preserve">От атак перебором помогают следующие действия: капча, длинные и сложные пароли, различные пароли, переодическая смена паролей. (рис. 31)</w:t>
      </w:r>
    </w:p>
    <w:p>
      <w:pPr>
        <w:pStyle w:val="CaptionedFigure"/>
      </w:pPr>
      <w:r>
        <w:drawing>
          <wp:inline>
            <wp:extent cx="3733800" cy="1913749"/>
            <wp:effectExtent b="0" l="0" r="0" t="0"/>
            <wp:docPr descr="Задание 2.2.6" title="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2.2.6</w:t>
      </w:r>
    </w:p>
    <w:bookmarkEnd w:id="120"/>
    <w:bookmarkStart w:id="127" w:name="фишинг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Фишинг</w:t>
      </w:r>
    </w:p>
    <w:p>
      <w:pPr>
        <w:pStyle w:val="Compact"/>
        <w:numPr>
          <w:ilvl w:val="0"/>
          <w:numId w:val="1032"/>
        </w:numPr>
      </w:pPr>
      <w:r>
        <w:t xml:space="preserve">В данном задании рассматривается такой тип фишинговых атак, как адресный фишинг, когда мы вроде бы переходим на известную нам страницу, но она является поддельной. (рис. 32)</w:t>
      </w:r>
    </w:p>
    <w:p>
      <w:pPr>
        <w:pStyle w:val="CaptionedFigure"/>
      </w:pPr>
      <w:r>
        <w:drawing>
          <wp:inline>
            <wp:extent cx="3733800" cy="1827238"/>
            <wp:effectExtent b="0" l="0" r="0" t="0"/>
            <wp:docPr descr="Задание 2.3.1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2.3.1</w:t>
      </w:r>
    </w:p>
    <w:p>
      <w:pPr>
        <w:pStyle w:val="Compact"/>
        <w:numPr>
          <w:ilvl w:val="0"/>
          <w:numId w:val="1033"/>
        </w:numPr>
      </w:pPr>
      <w:r>
        <w:t xml:space="preserve">Да такое возможно, это называет спуфинг, это происходит, потому что SMTP не включает в себя проверку адреса отправителя. (рис. 33)</w:t>
      </w:r>
    </w:p>
    <w:p>
      <w:pPr>
        <w:pStyle w:val="CaptionedFigure"/>
      </w:pPr>
      <w:r>
        <w:drawing>
          <wp:inline>
            <wp:extent cx="3733800" cy="1427141"/>
            <wp:effectExtent b="0" l="0" r="0" t="0"/>
            <wp:docPr descr="Задание 2.3.2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2.3.2</w:t>
      </w:r>
    </w:p>
    <w:bookmarkEnd w:id="127"/>
    <w:bookmarkStart w:id="134" w:name="вирусы.-пример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Вирусы. Примеры</w:t>
      </w:r>
    </w:p>
    <w:p>
      <w:pPr>
        <w:pStyle w:val="Compact"/>
        <w:numPr>
          <w:ilvl w:val="0"/>
          <w:numId w:val="1034"/>
        </w:numPr>
      </w:pPr>
      <w:r>
        <w:t xml:space="preserve">Email спуфинг - это подмена адреса отправителя в емайлах. (рис. 34)</w:t>
      </w:r>
    </w:p>
    <w:p>
      <w:pPr>
        <w:pStyle w:val="CaptionedFigure"/>
      </w:pPr>
      <w:r>
        <w:drawing>
          <wp:inline>
            <wp:extent cx="3733800" cy="1548023"/>
            <wp:effectExtent b="0" l="0" r="0" t="0"/>
            <wp:docPr descr="Задание 2.4.1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2.4.1</w:t>
      </w:r>
    </w:p>
    <w:p>
      <w:pPr>
        <w:pStyle w:val="Compact"/>
        <w:numPr>
          <w:ilvl w:val="0"/>
          <w:numId w:val="1035"/>
        </w:numPr>
      </w:pPr>
      <w:r>
        <w:t xml:space="preserve">Троян - это вирус, который маскируется под легитимное ПО. (рис. 35)</w:t>
      </w:r>
    </w:p>
    <w:p>
      <w:pPr>
        <w:pStyle w:val="CaptionedFigure"/>
      </w:pPr>
      <w:r>
        <w:drawing>
          <wp:inline>
            <wp:extent cx="3733800" cy="1601404"/>
            <wp:effectExtent b="0" l="0" r="0" t="0"/>
            <wp:docPr descr="Задание 2.4.2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2.4.2</w:t>
      </w:r>
    </w:p>
    <w:bookmarkEnd w:id="134"/>
    <w:bookmarkStart w:id="141" w:name="безопасность-мессенджеров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Безопасность мессенджеров</w:t>
      </w:r>
    </w:p>
    <w:p>
      <w:pPr>
        <w:pStyle w:val="Compact"/>
        <w:numPr>
          <w:ilvl w:val="0"/>
          <w:numId w:val="1036"/>
        </w:numPr>
      </w:pPr>
      <w:r>
        <w:t xml:space="preserve">В протоколе мессенджеров Signal ключ формируется при генерации первого сообщения строной-отправителем. (рис. 36)</w:t>
      </w:r>
    </w:p>
    <w:p>
      <w:pPr>
        <w:pStyle w:val="CaptionedFigure"/>
      </w:pPr>
      <w:r>
        <w:drawing>
          <wp:inline>
            <wp:extent cx="3733800" cy="1547579"/>
            <wp:effectExtent b="0" l="0" r="0" t="0"/>
            <wp:docPr descr="Задание 2.5.1" title="" id="136" name="Picture"/>
            <a:graphic>
              <a:graphicData uri="http://schemas.openxmlformats.org/drawingml/2006/picture">
                <pic:pic>
                  <pic:nvPicPr>
                    <pic:cNvPr descr="image/36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2.5.1</w:t>
      </w:r>
    </w:p>
    <w:p>
      <w:pPr>
        <w:pStyle w:val="Compact"/>
        <w:numPr>
          <w:ilvl w:val="0"/>
          <w:numId w:val="1037"/>
        </w:numPr>
      </w:pPr>
      <w:r>
        <w:t xml:space="preserve">Суть сквозного шифрования состоит в том, что отправитель передает на сервер уже зашифрованное сообщение, сервер отправляет шифрованные данные получателю, а тот их дешифрует, таким образом сервер значет только куда надо передать сообщение. (рис. 37)</w:t>
      </w:r>
    </w:p>
    <w:p>
      <w:pPr>
        <w:pStyle w:val="CaptionedFigure"/>
      </w:pPr>
      <w:r>
        <w:drawing>
          <wp:inline>
            <wp:extent cx="3733800" cy="1584971"/>
            <wp:effectExtent b="0" l="0" r="0" t="0"/>
            <wp:docPr descr="Задание 2.5.2" title="" id="139" name="Picture"/>
            <a:graphic>
              <a:graphicData uri="http://schemas.openxmlformats.org/drawingml/2006/picture">
                <pic:pic>
                  <pic:nvPicPr>
                    <pic:cNvPr descr="image/37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2.5.2</w:t>
      </w:r>
    </w:p>
    <w:bookmarkEnd w:id="141"/>
    <w:bookmarkEnd w:id="142"/>
    <w:bookmarkStart w:id="195" w:name="криптография-на-практик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Криптография на практике</w:t>
      </w:r>
    </w:p>
    <w:bookmarkStart w:id="158" w:name="введение-в-криптографию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Введение в криптографию</w:t>
      </w:r>
    </w:p>
    <w:p>
      <w:pPr>
        <w:pStyle w:val="Compact"/>
        <w:numPr>
          <w:ilvl w:val="0"/>
          <w:numId w:val="1038"/>
        </w:numPr>
      </w:pPr>
      <w:r>
        <w:t xml:space="preserve">В асимметричных криптографических примитивах обе стороны имеют пару ключей - публичный и секретный. (рис. 38)</w:t>
      </w:r>
    </w:p>
    <w:p>
      <w:pPr>
        <w:pStyle w:val="CaptionedFigure"/>
      </w:pPr>
      <w:r>
        <w:drawing>
          <wp:inline>
            <wp:extent cx="3733800" cy="1364539"/>
            <wp:effectExtent b="0" l="0" r="0" t="0"/>
            <wp:docPr descr="Задание 3.1.1" title="" id="144" name="Picture"/>
            <a:graphic>
              <a:graphicData uri="http://schemas.openxmlformats.org/drawingml/2006/picture">
                <pic:pic>
                  <pic:nvPicPr>
                    <pic:cNvPr descr="image/38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3.1.1</w:t>
      </w:r>
    </w:p>
    <w:p>
      <w:pPr>
        <w:pStyle w:val="Compact"/>
        <w:numPr>
          <w:ilvl w:val="0"/>
          <w:numId w:val="1039"/>
        </w:numPr>
      </w:pPr>
      <w:r>
        <w:t xml:space="preserve">Криптографическая хэш-функция обладает следующими свойствами: возвращает последовательность бит фиксированной длинны, устойчива к коллизиям и эффективно вычисляется. (рис. 39)</w:t>
      </w:r>
    </w:p>
    <w:p>
      <w:pPr>
        <w:pStyle w:val="CaptionedFigure"/>
      </w:pPr>
      <w:r>
        <w:drawing>
          <wp:inline>
            <wp:extent cx="3733800" cy="1787047"/>
            <wp:effectExtent b="0" l="0" r="0" t="0"/>
            <wp:docPr descr="Задание 3.1.2" title="" id="147" name="Picture"/>
            <a:graphic>
              <a:graphicData uri="http://schemas.openxmlformats.org/drawingml/2006/picture">
                <pic:pic>
                  <pic:nvPicPr>
                    <pic:cNvPr descr="image/3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Задание 3.1.2</w:t>
      </w:r>
    </w:p>
    <w:p>
      <w:pPr>
        <w:pStyle w:val="Compact"/>
        <w:numPr>
          <w:ilvl w:val="0"/>
          <w:numId w:val="1040"/>
        </w:numPr>
      </w:pPr>
      <w:r>
        <w:t xml:space="preserve">К алгоритмам цифровой подписи относятся: RSA, американский стандарт ECDSA, российский стандарт ГОСТ Р 34.10-2012. (рис. 40)</w:t>
      </w:r>
    </w:p>
    <w:p>
      <w:pPr>
        <w:pStyle w:val="CaptionedFigure"/>
      </w:pPr>
      <w:r>
        <w:drawing>
          <wp:inline>
            <wp:extent cx="3733800" cy="1411392"/>
            <wp:effectExtent b="0" l="0" r="0" t="0"/>
            <wp:docPr descr="Задание 3.1.3" title="" id="150" name="Picture"/>
            <a:graphic>
              <a:graphicData uri="http://schemas.openxmlformats.org/drawingml/2006/picture">
                <pic:pic>
                  <pic:nvPicPr>
                    <pic:cNvPr descr="image/40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3.1.3</w:t>
      </w:r>
    </w:p>
    <w:p>
      <w:pPr>
        <w:pStyle w:val="Compact"/>
        <w:numPr>
          <w:ilvl w:val="0"/>
          <w:numId w:val="1041"/>
        </w:numPr>
      </w:pPr>
      <w:r>
        <w:t xml:space="preserve">Код аутентификации сообщения относится к симметричным примитивам. (рис. 41)</w:t>
      </w:r>
    </w:p>
    <w:p>
      <w:pPr>
        <w:pStyle w:val="CaptionedFigure"/>
      </w:pPr>
      <w:r>
        <w:drawing>
          <wp:inline>
            <wp:extent cx="3733800" cy="1369603"/>
            <wp:effectExtent b="0" l="0" r="0" t="0"/>
            <wp:docPr descr="Задание 3.1.4" title="" id="153" name="Picture"/>
            <a:graphic>
              <a:graphicData uri="http://schemas.openxmlformats.org/drawingml/2006/picture">
                <pic:pic>
                  <pic:nvPicPr>
                    <pic:cNvPr descr="image/4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3.1.4</w:t>
      </w:r>
    </w:p>
    <w:p>
      <w:pPr>
        <w:pStyle w:val="Compact"/>
        <w:numPr>
          <w:ilvl w:val="0"/>
          <w:numId w:val="1042"/>
        </w:numPr>
      </w:pPr>
      <w:r>
        <w:t xml:space="preserve">Обмен ключам Диффи-Хэллмана - это ассиметричный примитив, который используется для генерации общего секретного ключа. (рис. 42)</w:t>
      </w:r>
    </w:p>
    <w:p>
      <w:pPr>
        <w:pStyle w:val="CaptionedFigure"/>
      </w:pPr>
      <w:r>
        <w:drawing>
          <wp:inline>
            <wp:extent cx="3733800" cy="1559476"/>
            <wp:effectExtent b="0" l="0" r="0" t="0"/>
            <wp:docPr descr="Задание 3.1.5" title="" id="156" name="Picture"/>
            <a:graphic>
              <a:graphicData uri="http://schemas.openxmlformats.org/drawingml/2006/picture">
                <pic:pic>
                  <pic:nvPicPr>
                    <pic:cNvPr descr="image/42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3.1.5</w:t>
      </w:r>
    </w:p>
    <w:bookmarkEnd w:id="158"/>
    <w:bookmarkStart w:id="174" w:name="цифровая-подпись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Цифровая подпись</w:t>
      </w:r>
    </w:p>
    <w:p>
      <w:pPr>
        <w:pStyle w:val="Compact"/>
        <w:numPr>
          <w:ilvl w:val="0"/>
          <w:numId w:val="1043"/>
        </w:numPr>
      </w:pPr>
      <w:r>
        <w:t xml:space="preserve">Протокол электронной цифровой подписи относится к ассиметричным протоколам, то есть с публичным и секретным ключами. (рис. 43)</w:t>
      </w:r>
    </w:p>
    <w:p>
      <w:pPr>
        <w:pStyle w:val="CaptionedFigure"/>
      </w:pPr>
      <w:r>
        <w:drawing>
          <wp:inline>
            <wp:extent cx="3733800" cy="1334099"/>
            <wp:effectExtent b="0" l="0" r="0" t="0"/>
            <wp:docPr descr="Задание 3.2.1" title="" id="160" name="Picture"/>
            <a:graphic>
              <a:graphicData uri="http://schemas.openxmlformats.org/drawingml/2006/picture">
                <pic:pic>
                  <pic:nvPicPr>
                    <pic:cNvPr descr="image/43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3.2.1</w:t>
      </w:r>
    </w:p>
    <w:p>
      <w:pPr>
        <w:pStyle w:val="Compact"/>
        <w:numPr>
          <w:ilvl w:val="0"/>
          <w:numId w:val="1044"/>
        </w:numPr>
      </w:pPr>
      <w:r>
        <w:t xml:space="preserve">Алгоритм верификации электронной цифровой подписи требует на вход три вещи - это подпись, сообщение и открытый ключ. (рис. 44)</w:t>
      </w:r>
    </w:p>
    <w:p>
      <w:pPr>
        <w:pStyle w:val="CaptionedFigure"/>
      </w:pPr>
      <w:r>
        <w:drawing>
          <wp:inline>
            <wp:extent cx="3733800" cy="1613474"/>
            <wp:effectExtent b="0" l="0" r="0" t="0"/>
            <wp:docPr descr="Задание 3.2.2" title="" id="163" name="Picture"/>
            <a:graphic>
              <a:graphicData uri="http://schemas.openxmlformats.org/drawingml/2006/picture">
                <pic:pic>
                  <pic:nvPicPr>
                    <pic:cNvPr descr="image/44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3.2.2</w:t>
      </w:r>
    </w:p>
    <w:p>
      <w:pPr>
        <w:pStyle w:val="Compact"/>
        <w:numPr>
          <w:ilvl w:val="0"/>
          <w:numId w:val="1045"/>
        </w:numPr>
      </w:pPr>
      <w:r>
        <w:t xml:space="preserve">Электронная цифровая подпись не обеспечивает конфиденциальности - она используется для аутентификации, проверки на целостность и неотказ от авторства. (рис. 45)</w:t>
      </w:r>
    </w:p>
    <w:p>
      <w:pPr>
        <w:pStyle w:val="CaptionedFigure"/>
      </w:pPr>
      <w:r>
        <w:drawing>
          <wp:inline>
            <wp:extent cx="3733800" cy="1500679"/>
            <wp:effectExtent b="0" l="0" r="0" t="0"/>
            <wp:docPr descr="Задание 3.2.3" title="" id="166" name="Picture"/>
            <a:graphic>
              <a:graphicData uri="http://schemas.openxmlformats.org/drawingml/2006/picture">
                <pic:pic>
                  <pic:nvPicPr>
                    <pic:cNvPr descr="image/4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3.2.3</w:t>
      </w:r>
    </w:p>
    <w:p>
      <w:pPr>
        <w:pStyle w:val="Compact"/>
        <w:numPr>
          <w:ilvl w:val="0"/>
          <w:numId w:val="1046"/>
        </w:numPr>
      </w:pPr>
      <w:r>
        <w:t xml:space="preserve">Для отправки налоговой отчетности в ФНС необходимо использовать усиленную квалифицированную подпись. (рис. 46)</w:t>
      </w:r>
    </w:p>
    <w:p>
      <w:pPr>
        <w:pStyle w:val="CaptionedFigure"/>
      </w:pPr>
      <w:r>
        <w:drawing>
          <wp:inline>
            <wp:extent cx="3733800" cy="1458253"/>
            <wp:effectExtent b="0" l="0" r="0" t="0"/>
            <wp:docPr descr="Задание 3.2.4" title="" id="169" name="Picture"/>
            <a:graphic>
              <a:graphicData uri="http://schemas.openxmlformats.org/drawingml/2006/picture">
                <pic:pic>
                  <pic:nvPicPr>
                    <pic:cNvPr descr="image/4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Задание 3.2.4</w:t>
      </w:r>
    </w:p>
    <w:p>
      <w:pPr>
        <w:pStyle w:val="Compact"/>
        <w:numPr>
          <w:ilvl w:val="0"/>
          <w:numId w:val="1047"/>
        </w:numPr>
      </w:pPr>
      <w:r>
        <w:t xml:space="preserve">Квалифицированный сертификат можно получить в сертификационном центре. (рис. 47)</w:t>
      </w:r>
    </w:p>
    <w:p>
      <w:pPr>
        <w:pStyle w:val="CaptionedFigure"/>
      </w:pPr>
      <w:r>
        <w:drawing>
          <wp:inline>
            <wp:extent cx="3733800" cy="1549721"/>
            <wp:effectExtent b="0" l="0" r="0" t="0"/>
            <wp:docPr descr="Задание 3.2.5" title="" id="172" name="Picture"/>
            <a:graphic>
              <a:graphicData uri="http://schemas.openxmlformats.org/drawingml/2006/picture">
                <pic:pic>
                  <pic:nvPicPr>
                    <pic:cNvPr descr="image/4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Задание 3.2.5</w:t>
      </w:r>
    </w:p>
    <w:bookmarkEnd w:id="174"/>
    <w:bookmarkStart w:id="184" w:name="электронные-платежи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Электронные платежи</w:t>
      </w:r>
    </w:p>
    <w:p>
      <w:pPr>
        <w:pStyle w:val="Compact"/>
        <w:numPr>
          <w:ilvl w:val="0"/>
          <w:numId w:val="1048"/>
        </w:numPr>
      </w:pPr>
      <w:r>
        <w:t xml:space="preserve">Выбираем платежные системы MasterCard и МИР. (рис. 48)</w:t>
      </w:r>
    </w:p>
    <w:p>
      <w:pPr>
        <w:pStyle w:val="CaptionedFigure"/>
      </w:pPr>
      <w:r>
        <w:drawing>
          <wp:inline>
            <wp:extent cx="3733800" cy="1900639"/>
            <wp:effectExtent b="0" l="0" r="0" t="0"/>
            <wp:docPr descr="Задание 3.3.1" title="" id="176" name="Picture"/>
            <a:graphic>
              <a:graphicData uri="http://schemas.openxmlformats.org/drawingml/2006/picture">
                <pic:pic>
                  <pic:nvPicPr>
                    <pic:cNvPr descr="image/4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Задание 3.3.1</w:t>
      </w:r>
    </w:p>
    <w:p>
      <w:pPr>
        <w:pStyle w:val="Compact"/>
        <w:numPr>
          <w:ilvl w:val="0"/>
          <w:numId w:val="1049"/>
        </w:numPr>
      </w:pPr>
      <w:r>
        <w:t xml:space="preserve">Примером многофакторной аутентификации является те, что я выбрал. (рис. 49)</w:t>
      </w:r>
    </w:p>
    <w:p>
      <w:pPr>
        <w:pStyle w:val="CaptionedFigure"/>
      </w:pPr>
      <w:r>
        <w:drawing>
          <wp:inline>
            <wp:extent cx="3733800" cy="1747317"/>
            <wp:effectExtent b="0" l="0" r="0" t="0"/>
            <wp:docPr descr="Задание 3.3.2" title="" id="179" name="Picture"/>
            <a:graphic>
              <a:graphicData uri="http://schemas.openxmlformats.org/drawingml/2006/picture">
                <pic:pic>
                  <pic:nvPicPr>
                    <pic:cNvPr descr="image/49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Задание 3.3.2</w:t>
      </w:r>
    </w:p>
    <w:p>
      <w:pPr>
        <w:pStyle w:val="Compact"/>
        <w:numPr>
          <w:ilvl w:val="0"/>
          <w:numId w:val="1050"/>
        </w:numPr>
      </w:pPr>
      <w:r>
        <w:t xml:space="preserve">При онлайн платежах сегодня используется многофакторная аутентификация покупателя перед банком-эмитентом. (рис. 50)</w:t>
      </w:r>
    </w:p>
    <w:p>
      <w:pPr>
        <w:pStyle w:val="CaptionedFigure"/>
      </w:pPr>
      <w:r>
        <w:drawing>
          <wp:inline>
            <wp:extent cx="3733800" cy="1457907"/>
            <wp:effectExtent b="0" l="0" r="0" t="0"/>
            <wp:docPr descr="Задание 3.3.3" title="" id="182" name="Picture"/>
            <a:graphic>
              <a:graphicData uri="http://schemas.openxmlformats.org/drawingml/2006/picture">
                <pic:pic>
                  <pic:nvPicPr>
                    <pic:cNvPr descr="image/50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Задание 3.3.3</w:t>
      </w:r>
    </w:p>
    <w:bookmarkEnd w:id="184"/>
    <w:bookmarkStart w:id="194" w:name="блокчейн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Блокчейн</w:t>
      </w:r>
    </w:p>
    <w:p>
      <w:pPr>
        <w:pStyle w:val="Compact"/>
        <w:numPr>
          <w:ilvl w:val="0"/>
          <w:numId w:val="1051"/>
        </w:numPr>
      </w:pPr>
      <w:r>
        <w:t xml:space="preserve">В доказательстве работы используется сложность вычисления прообраза хэш-функции, так как единственным эффективным способом атаки на хэш-функцию является перебор. (рис. 51)</w:t>
      </w:r>
    </w:p>
    <w:p>
      <w:pPr>
        <w:pStyle w:val="CaptionedFigure"/>
      </w:pPr>
      <w:r>
        <w:drawing>
          <wp:inline>
            <wp:extent cx="3733800" cy="1597822"/>
            <wp:effectExtent b="0" l="0" r="0" t="0"/>
            <wp:docPr descr="Задание 3.4.1" title="" id="186" name="Picture"/>
            <a:graphic>
              <a:graphicData uri="http://schemas.openxmlformats.org/drawingml/2006/picture">
                <pic:pic>
                  <pic:nvPicPr>
                    <pic:cNvPr descr="image/5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Задание 3.4.1</w:t>
      </w:r>
    </w:p>
    <w:p>
      <w:pPr>
        <w:pStyle w:val="Compact"/>
        <w:numPr>
          <w:ilvl w:val="0"/>
          <w:numId w:val="1052"/>
        </w:numPr>
      </w:pPr>
      <w:r>
        <w:t xml:space="preserve">Консенсус в некоторых системах блокчейн обладает свойствами - живучесть, консенсус, постоянства, открытость. (рис. 52)</w:t>
      </w:r>
    </w:p>
    <w:p>
      <w:pPr>
        <w:pStyle w:val="CaptionedFigure"/>
      </w:pPr>
      <w:r>
        <w:drawing>
          <wp:inline>
            <wp:extent cx="3733800" cy="1638437"/>
            <wp:effectExtent b="0" l="0" r="0" t="0"/>
            <wp:docPr descr="Задание 3.4.2" title="" id="189" name="Picture"/>
            <a:graphic>
              <a:graphicData uri="http://schemas.openxmlformats.org/drawingml/2006/picture">
                <pic:pic>
                  <pic:nvPicPr>
                    <pic:cNvPr descr="image/52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Задание 3.4.2</w:t>
      </w:r>
    </w:p>
    <w:p>
      <w:pPr>
        <w:pStyle w:val="Compact"/>
        <w:numPr>
          <w:ilvl w:val="0"/>
          <w:numId w:val="1053"/>
        </w:numPr>
      </w:pPr>
      <w:r>
        <w:t xml:space="preserve">Участники блокчейна хранят секретные ключи электронной подписи, которые используют для подписи транзакций. (рис. 53)</w:t>
      </w:r>
    </w:p>
    <w:p>
      <w:pPr>
        <w:pStyle w:val="CaptionedFigure"/>
      </w:pPr>
      <w:r>
        <w:drawing>
          <wp:inline>
            <wp:extent cx="3733800" cy="1553374"/>
            <wp:effectExtent b="0" l="0" r="0" t="0"/>
            <wp:docPr descr="Задание 3.4.3" title="" id="192" name="Picture"/>
            <a:graphic>
              <a:graphicData uri="http://schemas.openxmlformats.org/drawingml/2006/picture">
                <pic:pic>
                  <pic:nvPicPr>
                    <pic:cNvPr descr="image/53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Задание 3.4.3</w:t>
      </w:r>
    </w:p>
    <w:bookmarkEnd w:id="194"/>
    <w:bookmarkEnd w:id="195"/>
    <w:bookmarkStart w:id="1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основы кибербезопасности.</w:t>
      </w:r>
    </w:p>
    <w:bookmarkEnd w:id="1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7" Target="media/rId27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30" Target="media/rId30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33" Target="media/rId33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внешних курсов</dc:title>
  <dc:creator>Дудырев Глеб Андреевич НПИбд-01-22</dc:creator>
  <dc:language>ru-RU</dc:language>
  <cp:keywords/>
  <dcterms:created xsi:type="dcterms:W3CDTF">2024-05-18T11:29:13Z</dcterms:created>
  <dcterms:modified xsi:type="dcterms:W3CDTF">2024-05-18T11:29:13Z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