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Математическое моделирование</w:t>
      </w:r>
    </w:p>
    <w:p>
      <w:pPr>
        <w:pStyle w:val="Author"/>
      </w:pPr>
      <w:r>
        <w:t xml:space="preserve">Дудырев Глеб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на языке прогаммирования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Формула для выбора варианта: (1132226532 % 70) + 1 = 14 Вариант.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200000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119000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Моделирование боевых действий - метод военно-теоретического или военно-технического исследования объектов (систем, явлений, событий, процессов), участвующих (происходящих) в ходе боевых действий, путём создания и изучения их моделей (аналогов) в целях получения знаний о физич., информац. и иных процессах вооруж. борьбы, а также для сравнения вариантов решений командующих (командиров), планов и прогнозов ведения боевых действий, оценки влияния на них различных факторов.</w:t>
      </w:r>
    </w:p>
    <w:p>
      <w:pPr>
        <w:pStyle w:val="BodyText"/>
      </w:pPr>
      <w:r>
        <w:t xml:space="preserve">В зависимости от целей создания и предназначения модели подразделяют на исследовательское, управленч., штабное (адм.), обучающее (учебное). По масштабу моделирование бывает стратегическим, оперативным и тактическим. По природе используемых моделей и сфере их применения различают моделирование материальное (предметное) и идеальное.</w:t>
      </w:r>
    </w:p>
    <w:p>
      <w:pPr>
        <w:pStyle w:val="BodyText"/>
      </w:pPr>
      <w:r>
        <w:t xml:space="preserve">Моделирование боевых действий наиболее широко применяется в интересах обоснования принимаемых решений в области управления войсками (силами) при подготовке и ведении боевых действий, строительстве вооруженных сил, разработке программ развития вооружений, а также при оценке эффективности использования новых образцов оружия, оперативной подготовке штабов и др.</w:t>
      </w:r>
      <w:r>
        <w:t xml:space="preserve"> </w:t>
      </w:r>
      <w:r>
        <w:t xml:space="preserve">[</w:t>
      </w:r>
      <w:r>
        <w:rPr>
          <w:b/>
          <w:bCs/>
        </w:rPr>
        <w:t xml:space="preserve">enc?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</w:t>
      </w:r>
      <w:r>
        <w:t xml:space="preserve"> </w:t>
      </w:r>
      <w:r>
        <w:t xml:space="preserve">[</w:t>
      </w:r>
      <w:r>
        <w:rPr>
          <w:b/>
          <w:bCs/>
        </w:rPr>
        <w:t xml:space="preserve">wiki?</w:t>
      </w:r>
      <w:r>
        <w:t xml:space="preserve">]</w:t>
      </w:r>
      <w:r>
        <w:t xml:space="preserve">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X37c647783a0d1e0b6274cff853a0d7e99fafdf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$ -0.5x(t)$ и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</m:oMath>
      <w:r>
        <w:t xml:space="preserve"> </w:t>
      </w:r>
      <w:r>
        <w:t xml:space="preserve">(коэффиценты при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величины, характеризующие степень влияния различных факторов на потери), члены</w:t>
      </w:r>
      <w:r>
        <w:t xml:space="preserve"> </w:t>
      </w:r>
      <m:oMath>
        <m:r>
          <m:rPr>
            <m:sty m:val="p"/>
          </m:rPr>
          <m:t>−</m:t>
        </m:r>
        <m:r>
          <m:t>0.8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0.7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 (коэффиценты при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указывают на эффективность боевых действий со стороны у и х соответственно). Функции P(t) = sin(t+5)+1, Q(t) = cos(t+3)+1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Для начала построим эту модель на Julia:</w:t>
      </w:r>
    </w:p>
    <w:p>
      <w:pPr>
        <w:pStyle w:val="SourceCode"/>
      </w:pP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задание системы дифференциальных уравнений, описывающих модель </w:t>
      </w:r>
      <w:r>
        <w:br/>
      </w:r>
      <w:r>
        <w:rPr>
          <w:rStyle w:val="CommentTok"/>
        </w:rPr>
        <w:t xml:space="preserve"># боевых действий между регулярными войсками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(reg, u0, tspan, p)</w:t>
      </w:r>
      <w:r>
        <w:br/>
      </w:r>
      <w:r>
        <w:br/>
      </w:r>
      <w:r>
        <w:rPr>
          <w:rStyle w:val="CommentTok"/>
        </w:rPr>
        <w:t xml:space="preserve"># решение системы ДУ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построение графика, который описывает изменение численности армий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следующий график (рис. 1):</w:t>
      </w:r>
    </w:p>
    <w:bookmarkStart w:id="26" w:name="fig:001"/>
    <w:p>
      <w:pPr>
        <w:pStyle w:val="CaptionedFigure"/>
      </w:pPr>
      <w:r>
        <w:drawing>
          <wp:inline>
            <wp:extent cx="3200400" cy="2369680"/>
            <wp:effectExtent b="0" l="0" r="0" t="0"/>
            <wp:docPr descr="Рис. 1: Модель боевых действий между регулярными войска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боевых действий между регулярными войсками</w:t>
      </w:r>
    </w:p>
    <w:bookmarkEnd w:id="26"/>
    <w:p>
      <w:pPr>
        <w:pStyle w:val="BodyText"/>
      </w:pPr>
      <w:r>
        <w:t xml:space="preserve">Из графика видно, что выиграла армия страны Х, поскольку численность армии страны Y стала 0. Потери страны Х можно посчитать чуть больше 100000.</w:t>
      </w:r>
    </w:p>
    <w:bookmarkEnd w:id="27"/>
    <w:bookmarkStart w:id="36" w:name="Xd3532732049124a2fefbb95ae0940d2e9b64dc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системе все величины имеют тот же смысл, что и в первой модели.</w:t>
      </w:r>
    </w:p>
    <w:p>
      <w:pPr>
        <w:pStyle w:val="BodyText"/>
      </w:pPr>
      <w:r>
        <w:t xml:space="preserve">Построим модель на Julia:</w:t>
      </w:r>
    </w:p>
    <w:p>
      <w:pPr>
        <w:pStyle w:val="SourceCode"/>
      </w:pP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задание системы дифференциальных уравнений, описывающих модель </w:t>
      </w:r>
      <w:r>
        <w:br/>
      </w:r>
      <w:r>
        <w:rPr>
          <w:rStyle w:val="CommentTok"/>
        </w:rPr>
        <w:t xml:space="preserve"># боевых действий между регулярными войсками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reg_part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(reg_part, u0, tspan, p)</w:t>
      </w:r>
      <w:r>
        <w:br/>
      </w:r>
      <w:r>
        <w:br/>
      </w:r>
      <w:r>
        <w:rPr>
          <w:rStyle w:val="CommentTok"/>
        </w:rPr>
        <w:t xml:space="preserve"># решение системы ДУ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построение графика, который описывает изменение численности армий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следующий график изменения численности армии (рис. 2):</w:t>
      </w:r>
    </w:p>
    <w:bookmarkStart w:id="31" w:name="fig:003"/>
    <w:p>
      <w:pPr>
        <w:pStyle w:val="CaptionedFigure"/>
      </w:pPr>
      <w:r>
        <w:drawing>
          <wp:inline>
            <wp:extent cx="3200400" cy="2353705"/>
            <wp:effectExtent b="0" l="0" r="0" t="0"/>
            <wp:docPr descr="Рис. 2: Модель боевых действий с участием регулярных войск и партизанских отрядов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с участием регулярных войск и партизанских отрядов</w:t>
      </w:r>
    </w:p>
    <w:bookmarkEnd w:id="31"/>
    <w:p>
      <w:pPr>
        <w:pStyle w:val="BodyText"/>
      </w:pPr>
      <w:r>
        <w:t xml:space="preserve">Из графика следует, что снова выигрывает армия Х, причем численность армии Y уменьшается до нуля сразу.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, xlimit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])</w:t>
      </w:r>
    </w:p>
    <w:bookmarkStart w:id="35" w:name="fig:004"/>
    <w:p>
      <w:pPr>
        <w:pStyle w:val="CaptionedFigure"/>
      </w:pPr>
      <w:r>
        <w:drawing>
          <wp:inline>
            <wp:extent cx="3200400" cy="2317346"/>
            <wp:effectExtent b="0" l="0" r="0" t="0"/>
            <wp:docPr descr="Рис. 3: Модель боевых действий с участием регулярных войск и партизанских отрядов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1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боевых действий с участием регулярных войск и партизанских отрядов</w:t>
      </w:r>
    </w:p>
    <w:bookmarkEnd w:id="35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модель боевых действий на языке прогаммирования Julia, а также провел сравнительный анализ.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Дудырев Глеб Андреевич</dc:creator>
  <dc:language>ru-RU</dc:language>
  <cp:keywords/>
  <dcterms:created xsi:type="dcterms:W3CDTF">2025-03-20T12:56:23Z</dcterms:created>
  <dcterms:modified xsi:type="dcterms:W3CDTF">2025-03-20T12:56:23Z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14pt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