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5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00000006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Учреждение образования</w:t>
      </w:r>
    </w:p>
    <w:p w14:paraId="00000007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«Брестский государственный технический университет»</w:t>
      </w:r>
    </w:p>
    <w:p w14:paraId="00000008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Кафедра ИИТ</w:t>
      </w:r>
    </w:p>
    <w:p w14:paraId="00000009">
      <w:pPr>
        <w:pStyle w:val="4"/>
        <w:spacing w:after="240" w:line="240" w:lineRule="auto"/>
      </w:pP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0A">
      <w:pPr>
        <w:pStyle w:val="4"/>
        <w:spacing w:after="0" w:line="240" w:lineRule="auto"/>
        <w:jc w:val="center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Лабораторная работа №2</w:t>
      </w:r>
    </w:p>
    <w:p w14:paraId="0000000B">
      <w:pPr>
        <w:pStyle w:val="4"/>
        <w:spacing w:after="0" w:line="240" w:lineRule="auto"/>
        <w:jc w:val="center"/>
      </w:pPr>
      <w:r>
        <w:rPr>
          <w:rFonts w:ascii="Times New Roman" w:hAnsi="Times New Roman"/>
          <w:bCs/>
          <w:color w:val="000000"/>
          <w:sz w:val="28"/>
          <w:szCs w:val="28"/>
        </w:rPr>
        <w:t>По дисциплине: «Модели решения задач в интеллектуальных системах»</w:t>
      </w:r>
    </w:p>
    <w:p w14:paraId="0000000C">
      <w:pPr>
        <w:pStyle w:val="4"/>
        <w:spacing w:after="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Тема: «Многослойный персептрон для задачи «исключающее ИЛИ» с числовыми классами: сравнение функций потерь MSE и Binary Cross-Entropy»</w:t>
      </w:r>
    </w:p>
    <w:p w14:paraId="0000000D">
      <w:pPr>
        <w:pStyle w:val="4"/>
        <w:spacing w:after="240" w:line="240" w:lineRule="auto"/>
      </w:pPr>
      <w:r>
        <w:rPr>
          <w:rFonts w:ascii="Times New Roman" w:hAnsi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0E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Выполнил:</w:t>
      </w:r>
    </w:p>
    <w:p w14:paraId="0000000F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Студент 4 курса </w:t>
      </w:r>
    </w:p>
    <w:p w14:paraId="00000010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Группы ИИ-25</w:t>
      </w:r>
    </w:p>
    <w:p w14:paraId="00000011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Андреюк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М</w:t>
      </w:r>
      <w:r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О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00000012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Проверила:</w:t>
      </w:r>
    </w:p>
    <w:p w14:paraId="00000013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Андренко К.В.</w:t>
      </w:r>
    </w:p>
    <w:p w14:paraId="00000014">
      <w:pPr>
        <w:pStyle w:val="4"/>
        <w:spacing w:after="240" w:line="240" w:lineRule="auto"/>
      </w:pP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15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6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7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8">
      <w:pPr>
        <w:pStyle w:val="4"/>
        <w:spacing w:after="0" w:line="240" w:lineRule="auto"/>
        <w:jc w:val="center"/>
        <w:sectPr>
          <w:pgSz w:w="11906" w:h="16838"/>
          <w:pgMar w:top="720" w:right="720" w:bottom="720" w:left="720" w:header="720" w:footer="720" w:gutter="0"/>
          <w:cols w:space="720" w:num="1"/>
        </w:sectPr>
      </w:pPr>
      <w:r>
        <w:rPr>
          <w:rFonts w:ascii="Times New Roman" w:hAnsi="Times New Roman"/>
          <w:color w:val="000000"/>
          <w:sz w:val="28"/>
          <w:szCs w:val="28"/>
        </w:rPr>
        <w:t>Брест 2026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Цель 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работы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на основе многослойного персептрона архитектуры 2-2-1, реализованного в Лабораторной работе №1 для задачи XOR с числовыми классами c0 и c1 из диапазона [−10; 10], реализовать альтернативную функцию потерь – бинарную кросс-энтропию (Binary Cross-Entropy, BCE) – и провести сравнительный анализ обучения сети с MSE (Лабораторная работа №1) и с BCE по скорости сходимости, качеству обучения и устойчивости к выбору начальных весов.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000000"/>
          <w:sz w:val="26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Задание:  </w:t>
      </w:r>
    </w:p>
    <w:p w14:paraId="0000001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ru-RU"/>
        </w:rPr>
        <w:t>в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зять за основу код многослойного персептрона 2-2-1 из Лабораторной работы №1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>;</w:t>
      </w:r>
    </w:p>
    <w:p w14:paraId="0000001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ru-RU"/>
        </w:rPr>
        <w:t>п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оскольку BCE определена для выходов в диапазоне (0; 1), а целевые значения в вашем варианте – произвольные числа c0 и c1 из диапазона [−10; 10], реализовать нормализацию (масштабирование) целевых значений перед обучением и обратное преобразование выхода сети после обучения: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</w:t>
      </w:r>
    </w:p>
    <w:p w14:paraId="0000001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привести c0 и c1 к бинарным меткам 0 и 1;</w:t>
      </w:r>
    </w:p>
    <w:p w14:paraId="0000001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обучать сеть на нормализованных целевых значениях с функцией потерь BCE;</w:t>
      </w:r>
    </w:p>
    <w:p w14:paraId="0000001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при выводе результата преобразовывать выход сети ŷ ∈(0; 1) обратно в шкалу [c0; c1].</w:t>
      </w:r>
    </w:p>
    <w:p w14:paraId="0000002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ru-RU"/>
        </w:rPr>
        <w:t>р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еализовать корректный градиент для связки BCE + сигмоида на выходном слое; для скрытого слоя градиент передаётся по стандартному правилу цепочки.</w:t>
      </w:r>
    </w:p>
    <w:p w14:paraId="0000002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ru-RU"/>
        </w:rPr>
        <w:t>о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бучить сеть на полной таблице истинности своего варианта (4 примера) в двух конфигурац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иях:</w:t>
      </w:r>
    </w:p>
    <w:p w14:paraId="00000022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ru-RU"/>
        </w:rPr>
        <w:t>к</w:t>
      </w: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en-US"/>
        </w:rPr>
        <w:t>онфигурация А (базовая, из ЛР №1):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MLP 2-2-1, функция потерь MSE, целевые значения – исходные c0/c1, выходной слой – сигмоида. Результаты можно взять из отчёта по ЛР №1 или, при необходимости, повторить обучение с фиксацией всех метрик.</w:t>
      </w:r>
    </w:p>
    <w:p w14:paraId="0000002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ru-RU"/>
        </w:rPr>
        <w:t>к</w:t>
      </w: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en-US"/>
        </w:rPr>
        <w:t>онфигурация Б (новая):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MLP 2-2-1, функция потерь BCE, целевые значения – нормализованные (0/1), с последующим пересчётом выхода в шкалу [c0; c1].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720" w:right="0" w:firstLine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ru-RU"/>
        </w:rPr>
        <w:t>К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ритерий остановки для обеих конфигураций одинаков – суммарная ошибка Es ≤ Ee (используйте то же значение Ee, что и в ЛР №1, либо согласуйте новое значение отдельно для MSE и для BCE, поскольку это разные по своей природе величины – обоснуйте выбор в отчёте)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>;</w:t>
      </w:r>
    </w:p>
    <w:p w14:paraId="0000002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ru-RU"/>
        </w:rPr>
        <w:t>д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ля каждой конфигурации зафиксировать: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</w:t>
      </w:r>
    </w:p>
    <w:p w14:paraId="0000002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количество эпох до достижения критерия остановки (либо факт недостижения за максимально допустимое число эпох);</w:t>
      </w:r>
    </w:p>
    <w:p w14:paraId="0000002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итоговую суммарную ошибку;</w:t>
      </w:r>
    </w:p>
    <w:p w14:paraId="0000002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accuracy на всех 4 примерах таблицы истинности;</w:t>
      </w:r>
    </w:p>
    <w:p w14:paraId="0000002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среднюю абсолютную ошибку в исходной шкале [c0; c1].</w:t>
      </w:r>
    </w:p>
    <w:p w14:paraId="0000002A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ru-RU"/>
        </w:rPr>
        <w:t>п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ровести не менее 5 запусков обучения для каждой конфигурации с разной случайной инициализацией весов (менять seed) и сравнить устойчивость сходимости: в скольких из 5 запусков сеть достигла критерия остановки, и какой разброс по числу эпох наблюдается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>;</w:t>
      </w:r>
    </w:p>
    <w:p w14:paraId="0000002B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ru-RU"/>
        </w:rPr>
        <w:t>п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остроить общий график зависимости суммарной ошибки от номера эпохи для конфигурации А (MSE) и конфигурации Б (BCE) на одних осях (для представительного запуска каждой конфигурации)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>;</w:t>
      </w:r>
    </w:p>
    <w:p w14:paraId="0000002C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ru-RU"/>
        </w:rPr>
        <w:t>р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еализовать блок визуализации результатов, включающий:</w:t>
      </w:r>
    </w:p>
    <w:p w14:paraId="0000002D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ru-RU"/>
        </w:rPr>
        <w:t>г</w:t>
      </w: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en-US"/>
        </w:rPr>
        <w:t>рафик сходимости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– суммарная ошибка Es от номера эпохи, конфигурации А и Б на одних осях, разными цветами/стилями линий, с обозначением порога Ee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>;</w:t>
      </w:r>
    </w:p>
    <w:p w14:paraId="0000002E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ru-RU"/>
        </w:rPr>
        <w:t>д</w:t>
      </w: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en-US"/>
        </w:rPr>
        <w:t>иаграмму разброса числа эпох по 5 запускам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(bar chart или scatter) для конфигурации А и конфигурации Б – наглядно показывающую устойчивость сходимости из п. 6 (например, столбики числа эпох для каждого из 5 seed, сгруппированные по конфигурации; запуски, не достигшие критерия остановки, отметить отдельно, например штриховкой или отдельным цветом)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>;</w:t>
      </w:r>
    </w:p>
    <w:p w14:paraId="0000002F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ru-RU"/>
        </w:rPr>
        <w:t>в</w:t>
      </w: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en-US"/>
        </w:rPr>
        <w:t xml:space="preserve">изуализацию разделяющей поверхности скрытого слоя 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– для представительного обученного экземпляра каждой конфигурации построить на плоскости (A, B) карту выходного значения сети (heatmap или contour plot) с наложенными точками обучающей выборки (4 примера таблицы истинности), закрашенными по истинному классу. Диапазон осей A и B – [−10; 10] (весь допустимый диапазон входных значений). Для конфигурации Б цветовую шкалу можно строить как по нормализованному ŷ ∈(0; 1), так и по пересчитанному значению в шкале [c0; c1] – выбрать более наглядный вариант и обосновать выбор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>;</w:t>
      </w:r>
    </w:p>
    <w:p w14:paraId="00000030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ru-RU"/>
        </w:rPr>
        <w:t>д</w:t>
      </w:r>
      <w:r>
        <w:rPr>
          <w:rFonts w:ascii="Times New Roman" w:hAnsi="Times New Roman" w:cs="Times New Roman"/>
          <w:b/>
          <w:color w:val="000000"/>
          <w:sz w:val="26"/>
          <w:szCs w:val="26"/>
          <w:highlight w:val="white"/>
          <w:rtl w:val="0"/>
          <w:lang w:val="en-US"/>
        </w:rPr>
        <w:t>иаграмму сравнения точности восстановления шкалы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– столбчатую диаграмму средней абсолютной ошибки для конфигурации А и конфигурации Б, чтобы наглядно сопоставить точность регрессии к исходной шкале [c0; c1].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720" w:right="0" w:firstLine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Каждый график должен иметь подписанные оси, заголовок и легенду (где применимо). Разделяющую поверхность и графики точности рекомендуется разместить рядом (например, subplot 2×2 или отдельными рисунками) для удобства сравнения в отчёте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>;</w:t>
      </w:r>
    </w:p>
    <w:p w14:paraId="00000032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ru-RU"/>
        </w:rPr>
        <w:t>р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еализовать режим функционирования сети: пользователь вводит пару чисел (A, B) из диапазона [−10; 10] (не обязательно совпадающих с c0 и c1). Сеть должна выводить:</w:t>
      </w:r>
    </w:p>
    <w:p w14:paraId="00000033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выход в нормализованной шкале ŷ ∈(0; 1) (с точностью до 4 знаков);</w:t>
      </w:r>
    </w:p>
    <w:p w14:paraId="00000034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выход, пересчитанный в исходную шкалу [c0; c1] по формуле из п. 2;</w:t>
      </w:r>
    </w:p>
    <w:p w14:paraId="00000035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к какому классу (c0 или c1) ближе полученное значение.</w:t>
      </w: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720" w:right="0" w:firstLine="0"/>
        <w:jc w:val="both"/>
        <w:rPr>
          <w:rFonts w:ascii="Segoe UI"/>
          <w:color w:val="000000"/>
          <w:sz w:val="16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white"/>
          <w:rtl w:val="0"/>
          <w:lang w:val="en-US"/>
        </w:rPr>
        <w:t>Продемонстрировать работу режима функционирования на всех 4 примерах исходной таблицы истинности и не менее чем на 2–3 дополнительных парах (A, B), не входящих в обучающую выборку.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</w:t>
      </w: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/>
          <w:bCs/>
          <w:color w:val="000000"/>
          <w:sz w:val="26"/>
          <w:szCs w:val="24"/>
          <w:rtl w:val="0"/>
          <w:lang w:val="en-US"/>
        </w:rPr>
      </w:pPr>
      <w:r>
        <w:drawing>
          <wp:inline distT="0" distB="0" distL="114300" distR="114300">
            <wp:extent cx="4016375" cy="1842135"/>
            <wp:effectExtent l="0" t="0" r="698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ru-RU"/>
        </w:rPr>
        <w:t>Изменения в архитектуре и алгоритме относительно ЛР1:</w:t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en-US"/>
        </w:rPr>
        <w:t xml:space="preserve">Архитектура сети (2-2-1, сигмоида на всех слоях) не менялась. Изменения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en-US"/>
        </w:rPr>
        <w:t xml:space="preserve"> только в целевой функции и, дополнительно, во входной нормализации: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t>Нормализация целей (как и в ЛР1, поскольку сигмоида на выходе ограничена (0;1) и не может выдать −9 или 6):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center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drawing>
          <wp:inline distT="0" distB="0" distL="114300" distR="114300">
            <wp:extent cx="1967865" cy="7016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t>Обратный пересчёт после обучения:</w:t>
      </w:r>
    </w:p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center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drawing>
          <wp:inline distT="0" distB="0" distL="114300" distR="114300">
            <wp:extent cx="2558415" cy="4241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t>Вывод градиента для связки BCE + сигмоида (выходной слой):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ru-RU"/>
        </w:rPr>
        <w:t>Потери для одного примера:</w:t>
      </w: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ru-RU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drawing>
          <wp:inline distT="0" distB="0" distL="114300" distR="114300">
            <wp:extent cx="4688205" cy="5010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ru-RU"/>
        </w:rPr>
        <w:t>Цепное правило:</w:t>
      </w: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center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drawing>
          <wp:inline distT="0" distB="0" distL="114300" distR="114300">
            <wp:extent cx="1379855" cy="5632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ru-RU"/>
        </w:rPr>
        <w:t>где</w:t>
      </w: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center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drawing>
          <wp:inline distT="0" distB="0" distL="114300" distR="114300">
            <wp:extent cx="3397885" cy="6686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ru-RU"/>
        </w:rPr>
        <w:t>Подставляем и сокращаем:</w:t>
      </w: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center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drawing>
          <wp:inline distT="0" distB="0" distL="114300" distR="114300">
            <wp:extent cx="5386705" cy="762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ru-RU"/>
        </w:rPr>
        <w:t>Итог:</w:t>
      </w: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center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drawing>
          <wp:inline distT="0" distB="0" distL="114300" distR="114300">
            <wp:extent cx="1482090" cy="4273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 w:val="0"/>
          <w:bCs w:val="0"/>
          <w:color w:val="000000"/>
          <w:sz w:val="26"/>
          <w:szCs w:val="30"/>
          <w:rtl w:val="0"/>
          <w:lang w:val="ru-RU"/>
        </w:rPr>
        <w:t>Градиент для скрытого слоя:</w:t>
      </w: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center"/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30"/>
          <w:rtl w:val="0"/>
          <w:lang w:val="en-US"/>
        </w:rPr>
        <w:drawing>
          <wp:inline distT="0" distB="0" distL="114300" distR="114300">
            <wp:extent cx="2512695" cy="4572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Segoe UI"/>
          <w:color w:val="000000"/>
          <w:sz w:val="18"/>
          <w:lang w:val="en-US"/>
        </w:rPr>
      </w:pP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</w:pPr>
    </w:p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</w:pP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</w:pPr>
    </w:p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en-US"/>
        </w:rPr>
      </w:pPr>
    </w:p>
    <w:p w14:paraId="000000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30"/>
          <w:lang w:val="en-US"/>
        </w:rPr>
        <w:t>Блок визуализации:</w:t>
      </w:r>
    </w:p>
    <w:p w14:paraId="000000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color w:val="000000"/>
          <w:sz w:val="26"/>
          <w:szCs w:val="30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30"/>
          <w:lang w:val="en-US"/>
        </w:rPr>
        <w:t>График сходимости:</w:t>
      </w:r>
    </w:p>
    <w:p w14:paraId="000000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color w:val="000000"/>
          <w:sz w:val="26"/>
          <w:szCs w:val="30"/>
          <w:lang w:val="en-US"/>
        </w:rPr>
      </w:pPr>
      <w:r>
        <w:drawing>
          <wp:inline distT="0" distB="0" distL="114300" distR="114300">
            <wp:extent cx="5061585" cy="3376295"/>
            <wp:effectExtent l="0" t="0" r="13335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color w:val="000000"/>
          <w:sz w:val="26"/>
          <w:szCs w:val="30"/>
          <w:lang w:val="en-US"/>
        </w:rPr>
      </w:pPr>
    </w:p>
    <w:p w14:paraId="000000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color w:val="000000"/>
          <w:sz w:val="26"/>
          <w:szCs w:val="30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30"/>
          <w:lang w:val="en-US"/>
        </w:rPr>
        <w:t>Диаграмма числа эпох по 5 запускам:</w:t>
      </w:r>
    </w:p>
    <w:p w14:paraId="00000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color w:val="000000"/>
          <w:sz w:val="26"/>
          <w:szCs w:val="30"/>
          <w:lang w:val="en-US"/>
        </w:rPr>
      </w:pPr>
      <w:r>
        <w:drawing>
          <wp:inline distT="0" distB="0" distL="114300" distR="114300">
            <wp:extent cx="5235575" cy="3490595"/>
            <wp:effectExtent l="0" t="0" r="6985" b="146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color w:val="000000"/>
          <w:sz w:val="26"/>
          <w:szCs w:val="30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30"/>
          <w:lang w:val="ru-RU"/>
        </w:rPr>
        <w:t>Разделяющая поверхность:</w:t>
      </w:r>
    </w:p>
    <w:p w14:paraId="000000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color w:val="000000"/>
          <w:sz w:val="26"/>
          <w:szCs w:val="30"/>
          <w:lang w:val="en-US"/>
        </w:rPr>
      </w:pPr>
      <w:r>
        <w:drawing>
          <wp:inline distT="0" distB="0" distL="114300" distR="114300">
            <wp:extent cx="6636385" cy="2875915"/>
            <wp:effectExtent l="0" t="0" r="8255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color w:val="000000"/>
          <w:sz w:val="26"/>
          <w:szCs w:val="30"/>
          <w:lang w:val="ru-RU"/>
        </w:rPr>
      </w:pPr>
    </w:p>
    <w:p w14:paraId="000000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color w:val="000000"/>
          <w:sz w:val="26"/>
          <w:szCs w:val="30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30"/>
          <w:lang w:val="ru-RU"/>
        </w:rPr>
        <w:t>Диаграмма MAE:</w:t>
      </w:r>
    </w:p>
    <w:p w14:paraId="000000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center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drawing>
          <wp:inline distT="0" distB="0" distL="114300" distR="114300">
            <wp:extent cx="5036820" cy="3357880"/>
            <wp:effectExtent l="0" t="0" r="7620" b="10160"/>
            <wp:docPr id="5" name="Изображение 5" descr="plot_m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plot_ma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C3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  <w:lang w:val="ru-RU"/>
        </w:rPr>
        <w:t xml:space="preserve">Вывод </w:t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  <w:lang w:val="en-US"/>
        </w:rPr>
        <w:t>:</w:t>
      </w:r>
    </w:p>
    <w:p w14:paraId="4CED32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Конфигурация А (MSE, нормализованные 0/1)</w:t>
      </w:r>
    </w:p>
    <w:p w14:paraId="6F2926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Seed |    Эпохи |        Итог.Es |  Accuracy |      MAE</w:t>
      </w:r>
    </w:p>
    <w:p w14:paraId="38B0A2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 1 |     9071 |       0.009989 |    1.0000 |   0.2830</w:t>
      </w:r>
    </w:p>
    <w:p w14:paraId="18AC8F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 7 |     5048 |       0.009978 |    1.0000 |   0.2847</w:t>
      </w:r>
    </w:p>
    <w:p w14:paraId="7679B1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21 |     6143 |       0.009980 |    1.0000 |   0.2832</w:t>
      </w:r>
    </w:p>
    <w:p w14:paraId="0C29DA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42 |     7819 |       0.009983 |    1.0000 |   0.2831</w:t>
      </w:r>
    </w:p>
    <w:p w14:paraId="388828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123 |     3029 |       0.009989 |    1.0000 |   0.2883</w:t>
      </w:r>
    </w:p>
    <w:p w14:paraId="3E99FB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</w:p>
    <w:p w14:paraId="18F52E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Конфигурация Б (BCE, нормализованные 0/1)</w:t>
      </w:r>
    </w:p>
    <w:p w14:paraId="1A4E75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Seed |    Эпохи |        Итог.Es |  Accuracy |      MAE</w:t>
      </w:r>
    </w:p>
    <w:p w14:paraId="769F18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 1 |   198433 |       0.009946 |    1.0000 |   0.0142</w:t>
      </w:r>
    </w:p>
    <w:p w14:paraId="541064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 7 |   130516 |       0.010000 |    1.0000 |   0.0144</w:t>
      </w:r>
    </w:p>
    <w:p w14:paraId="38084F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21 |   105679 |       0.009970 |    1.0000 |   0.0144</w:t>
      </w:r>
    </w:p>
    <w:p w14:paraId="67EE68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42 |    93010 |       0.009921 |    1.0000 |   0.0144</w:t>
      </w:r>
    </w:p>
    <w:p w14:paraId="6208CF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123 |    35251 |       0.009977 |    1.0000 |   0.0146</w:t>
      </w:r>
    </w:p>
    <w:p w14:paraId="779633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</w:p>
    <w:p w14:paraId="63E7A1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Устойчивость сходимости (5 запусков)</w:t>
      </w:r>
    </w:p>
    <w:p w14:paraId="6664C2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A (MSE): сошлось 5/5, эпохи от 3029 до 9071</w:t>
      </w:r>
    </w:p>
    <w:p w14:paraId="1B8425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B (BCE): сошлось 5/5, эпохи от 35251 до 198433</w:t>
      </w:r>
    </w:p>
    <w:p w14:paraId="04A04C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</w:p>
    <w:p w14:paraId="62BF33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Итоговые результаты</w:t>
      </w:r>
    </w:p>
    <w:p w14:paraId="63BB16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</w:p>
    <w:p w14:paraId="30503D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MLP (2-2-1), Конфигурация А (MSE):</w:t>
      </w:r>
    </w:p>
    <w:p w14:paraId="60339E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 A      B   Ожид.    y_norm      y_raw   Класс   Вердикт</w:t>
      </w:r>
    </w:p>
    <w:p w14:paraId="4C2F33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 0      0       0    0.9362    -0.3828       0     Верно</w:t>
      </w:r>
    </w:p>
    <w:p w14:paraId="30ED45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 0     -6      -6    0.0454    -5.7273      -6     Верно</w:t>
      </w:r>
    </w:p>
    <w:p w14:paraId="133AA6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-6      0      -6    0.0498    -5.7014      -6     Верно</w:t>
      </w:r>
    </w:p>
    <w:p w14:paraId="0D9E0F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-6     -6       0    0.9703    -0.1780       0     Верно</w:t>
      </w:r>
    </w:p>
    <w:p w14:paraId="23D431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</w:p>
    <w:p w14:paraId="47C692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MLP (2-2-1), Конфигурация Б (BCE):</w:t>
      </w:r>
    </w:p>
    <w:p w14:paraId="68A420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 A      B   Ожид.    y_norm      y_raw   Класс   Вердикт</w:t>
      </w:r>
    </w:p>
    <w:p w14:paraId="2C1521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 0      0       0    0.9946    -0.0323       0     Верно</w:t>
      </w:r>
    </w:p>
    <w:p w14:paraId="4B30EE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 0     -6      -6    0.0002    -5.9986      -6     Верно</w:t>
      </w:r>
    </w:p>
    <w:p w14:paraId="7920EA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-6      0      -6    0.0038    -5.9773      -6     Верно</w:t>
      </w:r>
    </w:p>
    <w:p w14:paraId="3B52D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  -6     -6       0    0.9999    -0.0006       0     Верно</w:t>
      </w:r>
    </w:p>
    <w:p w14:paraId="36FFAC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</w:p>
    <w:p w14:paraId="5A610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Сохранены графики в папку проекта:</w:t>
      </w:r>
    </w:p>
    <w:p w14:paraId="16B326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plot_convergence.png</w:t>
      </w:r>
    </w:p>
    <w:p w14:paraId="7D4B6B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plot_epochs.png</w:t>
      </w:r>
    </w:p>
    <w:p w14:paraId="0CBAA3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plot_surfaces.png</w:t>
      </w:r>
    </w:p>
    <w:p w14:paraId="40B18A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plot_mae.png</w:t>
      </w:r>
    </w:p>
    <w:p w14:paraId="3E8E49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</w:p>
    <w:p w14:paraId="532336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РЕЖИМ ФУНКЦИОНИРОВАНИЯ СЕТИ (представительная, конфигурация Б)</w:t>
      </w:r>
    </w:p>
    <w:p w14:paraId="54849C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Введите пару A B из [-10;10] через пробел, 'q' - выход.</w:t>
      </w:r>
    </w:p>
    <w:p w14:paraId="17D2E6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</w:p>
    <w:p w14:paraId="6F1D06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4 примера из обучающей выборки (эталон из условия)</w:t>
      </w:r>
    </w:p>
    <w:p w14:paraId="59B44B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A=    0, B=    0 -&gt; y_norm=0.9946, y_raw= -0.0323, класс=   0 (ближе к    0), ожидалось=    0 Верно</w:t>
      </w:r>
    </w:p>
    <w:p w14:paraId="4056F2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A=    0, B=   -6 -&gt; y_norm=0.0002, y_raw= -5.9986, класс=  -6 (ближе к   -6), ожидалось=   -6 Верно</w:t>
      </w:r>
    </w:p>
    <w:p w14:paraId="194A7B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A=   -6, B=    0 -&gt; y_norm=0.0038, y_raw= -5.9773, класс=  -6 (ближе к   -6), ожидалось=   -6 Верно</w:t>
      </w:r>
    </w:p>
    <w:p w14:paraId="686B0B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A=   -6, B=   -6 -&gt; y_norm=0.9999, y_raw= -0.0006, класс=   0 (ближе к    0), ожидалось=    0 Верно</w:t>
      </w:r>
    </w:p>
    <w:p w14:paraId="52A39F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Итог по обучающей выборке: 4/4</w:t>
      </w:r>
    </w:p>
    <w:p w14:paraId="0155F2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</w:p>
    <w:p w14:paraId="6464FA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Дополнительные точки вне обучающей выборки</w:t>
      </w:r>
    </w:p>
    <w:p w14:paraId="7A82B2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Эталон рассчитан по знаковой аналогии с XOR:</w:t>
      </w:r>
    </w:p>
    <w:p w14:paraId="031780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класс(A) = (A ближе к c1) ? 1 : 0;</w:t>
      </w:r>
    </w:p>
    <w:p w14:paraId="582136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класс(B) = (B ближе к c1) ? 1 : 0;</w:t>
      </w:r>
    </w:p>
    <w:p w14:paraId="0D3541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 xml:space="preserve">  ожидаемый = класс(A) XOR класс(B)  -&gt;  0 -&gt; c0, 1 -&gt; c1</w:t>
      </w:r>
    </w:p>
    <w:p w14:paraId="7F15F6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</w:p>
    <w:p w14:paraId="2BE3C3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A=    5, B=    5 -&gt; y_norm=0.9993, y_raw= -0.0043, класс=   0 (ближе к    0), ожидалось=    0 Верно</w:t>
      </w:r>
    </w:p>
    <w:p w14:paraId="25243E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A=   -3, B=    7 -&gt; y_norm=0.9993, y_raw= -0.0044, класс=   0 (ближе к    0), ожидалось=   -6 Неверно</w:t>
      </w:r>
    </w:p>
    <w:p w14:paraId="178B39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A=    2, B=   -8 -&gt; y_norm=0.0002, y_raw= -5.9990, класс=  -6 (ближе к   -6), ожидалось=   -6 Верно</w:t>
      </w:r>
    </w:p>
    <w:p w14:paraId="0B241C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A=   -9, B=   -2 -&gt; y_norm=0.9998, y_raw= -0.0010, класс=   0 (ближе к    0), ожидалось=   -6 Неверно</w:t>
      </w:r>
    </w:p>
    <w:p w14:paraId="38B7A3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76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6"/>
          <w:szCs w:val="26"/>
          <w:lang w:val="ru-RU"/>
        </w:rPr>
        <w:t>Итог по дополнительным точкам: 2/4</w:t>
      </w:r>
    </w:p>
    <w:p w14:paraId="000000DE">
      <w:pPr>
        <w:pStyle w:val="69"/>
        <w:spacing w:after="0" w:line="276" w:lineRule="auto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Вопросы:</w:t>
      </w:r>
    </w:p>
    <w:p w14:paraId="000000DF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1. Какая функция потерь дала более быструю/устойчивую сходимость?</w:t>
      </w:r>
    </w:p>
    <w:p w14:paraId="000000E0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BCE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быстрее (2115–2247 эпох против 2557–2847 у MSE) и заметно устойчивее (сошлись все 5 запусков, у MSE один из пяти застрял в локальном минимуме). Это согласуется с теоретическим преимуществом BCE: градиент связки BCE+сигмоида равен просто (out−y) и не гаснет при насыщении выхода, тогда как у MSE градиент содержит множитель out(1−out), который стремится к нулю при насыщении сигмоиды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отсюда более медленное и менее надёжное обучение (эффект «исчезающего градиента»).</w:t>
      </w:r>
    </w:p>
    <w:p w14:paraId="000000E1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2. Как нормализация целей повлияла на обучение по сравнению с обучением на «сырых» числах [−10;10]?</w:t>
      </w:r>
    </w:p>
    <w:p w14:paraId="000000E2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Напрямую на c0/c1 без нормализации обучение с сигмоидой на выходе вообще невозможно: сигмоида ограничена (0;1) и никогда не выдаст −9 или 6, поэтому суммарная ошибка застревает на уровне сотен и критерий Ee=0.01 недостижим в принципе (проверено: после 5000 эпох ошибка ≈234). Нормализация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не опция, а обязательное условие корректной работы сигмоидного выхода.</w:t>
      </w:r>
    </w:p>
    <w:p w14:paraId="000000E3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3. Точность восстановления шкалы [c0;c1]: MSE vs BCE, есть ли компромисс?</w:t>
      </w:r>
    </w:p>
    <w:p w14:paraId="000000E4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MAE у BCE (~0.037) на два порядка меньше, чем у MSE (~0.74). Компромисса не обнаружено: BCE выигрывает и по устойчивости классификации, и по точности регрессии к исходной шкале, поскольку логистическая ошибка сильнее «выталкивает» выход к 0/1, а после денормализации это даёт значения, очень близкие к истинным c0/c1.</w:t>
      </w:r>
    </w:p>
    <w:p w14:paraId="000000E5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4. Устойчивость к случайной инициализации весов?</w:t>
      </w:r>
    </w:p>
    <w:p w14:paraId="000000E6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MSE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неустойчива: часть запусков (в нашей серии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1 из 5) попадает в локальный минимум с accuracy 0.75. BCE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устойчива: все 5 запусков сошлись к Ee=0.01 с близким числом эпох (разброс всего ~130 эпох).</w:t>
      </w:r>
    </w:p>
    <w:p w14:paraId="000000E7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5. Подтвердилось ли наблюдение о линейной неразделимости XOR независимо от числовых меток?</w:t>
      </w:r>
    </w:p>
    <w:p w14:paraId="000000E8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Да, полностью: та же архитектура 2-2-1 со скрытым слоем успешно решает задачу для c0=−9/c1=6, как и для классического 0/1 в ЛР1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линейная неразделимость определяется структурой данных XOR, а не конкретными значениями меток классов.</w:t>
      </w:r>
    </w:p>
    <w:p w14:paraId="000000E9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6. Как выбор функции потерь соотносится с необходимостью скрытого слоя?</w:t>
      </w:r>
    </w:p>
    <w:p w14:paraId="000000EA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Никак не влияет на этот вывод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он определяется исключительно архитектурой. И MSE, и BCE обучались на одной и той же сети со скрытым слоем; функция потерь меняет лишь скорость и устойчивость сходимости, но не принципиальную возможность разделить линейно неразделимые данные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это обеспечивает только наличие скрытого слоя.</w:t>
      </w:r>
    </w:p>
    <w:p w14:paraId="000000EB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7. Что показывает визуализация разделяющей поверхности?</w:t>
      </w:r>
    </w:p>
    <w:p w14:paraId="000000EC">
      <w:pPr>
        <w:pStyle w:val="69"/>
        <w:spacing w:after="0" w:line="276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Граница у обеих конфигураций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две параллельные диагональные линии, отделяющие (−9,−9)/(6,6) от (−9,6)/(6,−9), что соответствует ожидаемой для XOR форме (пересечение двух полуплоскостей скрытого слоя). По расположению границы MSE и BCE визуально почти совпадают (решается одна и та же задача одной архитектурой); различие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 xml:space="preserve">– 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в «резкости» карты значений: у BCE переходы цвета контрастнее из-за более сильного насыщения выхода, у MSE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–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 xml:space="preserve"> более плавный, размытый градиент.</w:t>
      </w:r>
    </w:p>
    <w:p w14:paraId="000000ED">
      <w:pPr>
        <w:pStyle w:val="69"/>
        <w:spacing w:after="0" w:line="288" w:lineRule="auto"/>
        <w:jc w:val="both"/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 xml:space="preserve">Вывод: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реализовал альтернативную функцию потерь – бинарную кросс-энтропию (Binary Cross-Entropy, BCE) – и провёл сравнительный анализ обучения сети с MSE и с BCE по скорости сходимости, качеству обучения и устойчивости к выбору начальных весов.</w:t>
      </w:r>
    </w:p>
    <w:sectPr>
      <w:pgSz w:w="11906" w:h="16838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Free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dwaita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CYR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ocumentProtection w:enforcement="0"/>
  <w:defaultTabStop w:val="720"/>
  <w:autoHyphenation/>
  <w:characterSpacingControl w:val="doNotCompress"/>
  <w:compat>
    <w:compatSetting w:name="compatibilityMode" w:uri="http://schemas.microsoft.com/office/word" w:val="15"/>
  </w:compat>
  <w:rsids>
    <w:rsidRoot w:val="00202326"/>
    <w:rsid w:val="00202326"/>
    <w:rsid w:val="00350E5E"/>
    <w:rsid w:val="31E5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FreeSerif"/>
      </w:rPr>
    </w:rPrDefault>
    <w:pPrDefault/>
  </w:docDefaults>
  <w:latentStyles w:count="260" w:defQFormat="0" w:defUnhideWhenUsed="1" w:defSemiHidden="1" w:defUIPriority="99" w:defLockedState="0">
    <w:lsdException w:unhideWhenUsed="0" w:uiPriority="99" w:semiHidden="0" w:name="Normal"/>
    <w:lsdException w:unhideWhenUsed="0" w:uiPriority="99" w:semiHidden="0" w:name="heading 1"/>
    <w:lsdException w:qFormat="1" w:uiPriority="9" w:name="heading 2"/>
    <w:lsdException w:unhideWhenUsed="0" w:uiPriority="99" w:semiHidden="0" w:name="heading 3"/>
    <w:lsdException w:unhideWhenUsed="0" w:uiPriority="9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99" w:semiHidden="0" w:name="header"/>
    <w:lsdException w:uiPriority="99" w:semiHidden="0" w:name="footer"/>
    <w:lsdException w:unhideWhenUsed="0" w:uiPriority="0" w:semiHidden="0" w:name="index heading"/>
    <w:lsdException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0" w:semiHidden="0" w:name="Document Map"/>
    <w:lsdException w:qFormat="1" w:uiPriority="99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99" w:semiHidden="0" w:name="Placeholder Text"/>
    <w:lsdException w:unhideWhenUsed="0" w:uiPriority="99" w:semiHidden="0" w:name="No Spacing"/>
    <w:lsdException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1" w:semiHidden="0" w:name="Light List Accent 2"/>
    <w:lsdException w:unhideWhenUsed="0" w:uiPriority="60" w:semiHidden="0" w:name="Light Shading Accent 3"/>
    <w:lsdException w:unhideWhenUsed="0" w:uiPriority="60" w:semiHidden="0" w:name="Light Shading Accent 5"/>
    <w:lsdException w:unhideWhenUsed="0" w:uiPriority="60" w:semiHidden="0" w:name="Light Shading Accent 6"/>
  </w:latentStyles>
  <w:style w:type="paragraph" w:default="1" w:styleId="1">
    <w:name w:val="Normal"/>
    <w:uiPriority w:val="99"/>
    <w:pPr>
      <w:widowControl/>
    </w:pPr>
    <w:rPr>
      <w:rFonts w:ascii="Calibri" w:hAnsi="Calibri" w:eastAsia="Calibri" w:cs="FreeSerif"/>
      <w:sz w:val="22"/>
      <w:szCs w:val="22"/>
      <w:lang w:val="en-US" w:eastAsia="en-US" w:bidi="ar-SA"/>
    </w:rPr>
  </w:style>
  <w:style w:type="paragraph" w:styleId="2">
    <w:name w:val="heading 1"/>
    <w:basedOn w:val="3"/>
    <w:next w:val="5"/>
    <w:uiPriority w:val="99"/>
    <w:rPr>
      <w:rFonts w:ascii="Liberation Serif" w:hAnsi="Liberation Serif" w:eastAsia="Adwaita Sans" w:cs="FreeSerif"/>
      <w:b/>
      <w:bCs/>
      <w:sz w:val="48"/>
      <w:szCs w:val="48"/>
    </w:rPr>
  </w:style>
  <w:style w:type="paragraph" w:styleId="6">
    <w:name w:val="heading 2"/>
    <w:basedOn w:val="1"/>
    <w:next w:val="1"/>
    <w:link w:val="36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">
    <w:name w:val="heading 3"/>
    <w:basedOn w:val="4"/>
    <w:uiPriority w:val="99"/>
    <w:pPr>
      <w:spacing w:before="280" w:after="280" w:line="240" w:lineRule="auto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8">
    <w:name w:val="heading 4"/>
    <w:basedOn w:val="4"/>
    <w:next w:val="5"/>
    <w:uiPriority w:val="99"/>
    <w:pPr>
      <w:spacing w:before="280" w:after="280"/>
    </w:pPr>
    <w:rPr>
      <w:rFonts w:ascii="Arial CYR" w:hAnsi="Arial CYR" w:eastAsia="Arial CYR" w:cs="Arial CYR"/>
      <w:b/>
      <w:bCs/>
      <w:color w:val="000000"/>
      <w:sz w:val="28"/>
      <w:szCs w:val="28"/>
    </w:rPr>
  </w:style>
  <w:style w:type="paragraph" w:styleId="9">
    <w:name w:val="heading 5"/>
    <w:basedOn w:val="1"/>
    <w:next w:val="1"/>
    <w:link w:val="39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10">
    <w:name w:val="heading 6"/>
    <w:basedOn w:val="1"/>
    <w:next w:val="1"/>
    <w:link w:val="4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11">
    <w:name w:val="heading 7"/>
    <w:basedOn w:val="1"/>
    <w:next w:val="1"/>
    <w:link w:val="4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2">
    <w:name w:val="heading 8"/>
    <w:basedOn w:val="1"/>
    <w:next w:val="1"/>
    <w:link w:val="4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3">
    <w:name w:val="heading 9"/>
    <w:basedOn w:val="1"/>
    <w:next w:val="1"/>
    <w:link w:val="4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uiPriority w:val="99"/>
    <w:pPr>
      <w:keepNext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customStyle="1" w:styleId="4">
    <w:name w:val="Standard"/>
    <w:uiPriority w:val="99"/>
    <w:pPr>
      <w:widowControl/>
      <w:spacing w:after="160" w:line="259" w:lineRule="auto"/>
    </w:pPr>
    <w:rPr>
      <w:rFonts w:ascii="Calibri" w:hAnsi="Calibri" w:eastAsia="Calibri" w:cs="FreeSerif"/>
      <w:sz w:val="22"/>
      <w:szCs w:val="22"/>
      <w:lang w:val="ru-RU" w:eastAsia="en-US" w:bidi="ar-SA"/>
    </w:rPr>
  </w:style>
  <w:style w:type="paragraph" w:customStyle="1" w:styleId="5">
    <w:name w:val="Text body"/>
    <w:basedOn w:val="4"/>
    <w:uiPriority w:val="99"/>
    <w:pPr>
      <w:spacing w:after="140" w:line="276" w:lineRule="auto"/>
    </w:pPr>
  </w:style>
  <w:style w:type="character" w:styleId="16">
    <w:name w:val="FollowedHyperlink"/>
    <w:basedOn w:val="1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footnote reference"/>
    <w:basedOn w:val="14"/>
    <w:semiHidden/>
    <w:unhideWhenUsed/>
    <w:uiPriority w:val="99"/>
    <w:rPr>
      <w:vertAlign w:val="superscript"/>
    </w:rPr>
  </w:style>
  <w:style w:type="character" w:styleId="18">
    <w:name w:val="endnote reference"/>
    <w:basedOn w:val="14"/>
    <w:semiHidden/>
    <w:unhideWhenUsed/>
    <w:uiPriority w:val="99"/>
    <w:rPr>
      <w:vertAlign w:val="superscript"/>
    </w:rPr>
  </w:style>
  <w:style w:type="character" w:styleId="19">
    <w:name w:val="Emphasis"/>
    <w:basedOn w:val="14"/>
    <w:uiPriority w:val="99"/>
    <w:rPr>
      <w:i/>
      <w:iCs/>
    </w:rPr>
  </w:style>
  <w:style w:type="character" w:styleId="20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4"/>
    <w:uiPriority w:val="99"/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14"/>
    <w:qFormat/>
    <w:uiPriority w:val="22"/>
    <w:rPr>
      <w:b/>
      <w:bCs/>
    </w:rPr>
  </w:style>
  <w:style w:type="paragraph" w:styleId="23">
    <w:name w:val="Balloon Text"/>
    <w:basedOn w:val="4"/>
    <w:uiPriority w:val="99"/>
    <w:pPr>
      <w:spacing w:after="0" w:line="240" w:lineRule="auto"/>
    </w:pPr>
    <w:rPr>
      <w:rFonts w:ascii="Segoe UI" w:hAnsi="Segoe UI" w:eastAsia="Segoe UI" w:cs="Segoe UI"/>
      <w:sz w:val="18"/>
      <w:szCs w:val="18"/>
    </w:rPr>
  </w:style>
  <w:style w:type="paragraph" w:styleId="24">
    <w:name w:val="Plain Text"/>
    <w:basedOn w:val="1"/>
    <w:link w:val="57"/>
    <w:semiHidden/>
    <w:unhideWhenUsed/>
    <w:qFormat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paragraph" w:styleId="25">
    <w:name w:val="endnote text"/>
    <w:basedOn w:val="1"/>
    <w:link w:val="5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6">
    <w:name w:val="caption"/>
    <w:basedOn w:val="4"/>
    <w:uiPriority w:val="99"/>
    <w:pPr>
      <w:spacing w:before="120" w:after="120"/>
    </w:pPr>
    <w:rPr>
      <w:rFonts w:cs="FreeSans"/>
      <w:i/>
      <w:iCs/>
      <w:sz w:val="24"/>
      <w:szCs w:val="24"/>
    </w:rPr>
  </w:style>
  <w:style w:type="paragraph" w:styleId="27">
    <w:name w:val="footnote text"/>
    <w:basedOn w:val="1"/>
    <w:link w:val="5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8">
    <w:name w:val="header"/>
    <w:basedOn w:val="4"/>
    <w:uiPriority w:val="99"/>
    <w:pPr>
      <w:tabs>
        <w:tab w:val="center" w:pos="4153"/>
        <w:tab w:val="right" w:pos="8306"/>
      </w:tabs>
    </w:pPr>
  </w:style>
  <w:style w:type="paragraph" w:styleId="29">
    <w:name w:val="Title"/>
    <w:basedOn w:val="1"/>
    <w:next w:val="1"/>
    <w:link w:val="44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30">
    <w:name w:val="footer"/>
    <w:basedOn w:val="1"/>
    <w:link w:val="59"/>
    <w:unhideWhenUsed/>
    <w:uiPriority w:val="99"/>
    <w:pPr>
      <w:spacing w:after="0" w:line="240" w:lineRule="auto"/>
    </w:pPr>
  </w:style>
  <w:style w:type="paragraph" w:styleId="31">
    <w:name w:val="List"/>
    <w:basedOn w:val="5"/>
    <w:uiPriority w:val="99"/>
    <w:rPr>
      <w:rFonts w:cs="FreeSans"/>
    </w:rPr>
  </w:style>
  <w:style w:type="paragraph" w:styleId="32">
    <w:name w:val="Normal (Web)"/>
    <w:basedOn w:val="4"/>
    <w:uiPriority w:val="99"/>
    <w:pPr>
      <w:spacing w:before="280" w:after="28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4">
    <w:name w:val="Table Grid"/>
    <w:basedOn w:val="1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5">
    <w:name w:val="Heading 1 Char"/>
    <w:basedOn w:val="14"/>
    <w:uiPriority w:val="9"/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customStyle="1" w:styleId="36">
    <w:name w:val="Heading 2 Char"/>
    <w:basedOn w:val="14"/>
    <w:link w:val="6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7">
    <w:name w:val="Heading 3 Char"/>
    <w:basedOn w:val="14"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8">
    <w:name w:val="Heading 4 Char"/>
    <w:basedOn w:val="14"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9">
    <w:name w:val="Heading 5 Char"/>
    <w:basedOn w:val="14"/>
    <w:link w:val="9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0">
    <w:name w:val="Heading 6 Char"/>
    <w:basedOn w:val="14"/>
    <w:link w:val="10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1">
    <w:name w:val="Heading 7 Char"/>
    <w:basedOn w:val="14"/>
    <w:link w:val="11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Heading 8 Char"/>
    <w:basedOn w:val="14"/>
    <w:link w:val="12"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Heading 9 Char"/>
    <w:basedOn w:val="14"/>
    <w:link w:val="13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Title Char"/>
    <w:basedOn w:val="14"/>
    <w:link w:val="2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45">
    <w:name w:val="Subtitle Char"/>
    <w:basedOn w:val="14"/>
    <w:link w:val="33"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6">
    <w:name w:val="Subtle Emphasis"/>
    <w:basedOn w:val="1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7">
    <w:name w:val="Intense Emphasis"/>
    <w:basedOn w:val="14"/>
    <w:qFormat/>
    <w:uiPriority w:val="21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48">
    <w:name w:val="Quote"/>
    <w:basedOn w:val="1"/>
    <w:next w:val="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9">
    <w:name w:val="Quote Char"/>
    <w:basedOn w:val="14"/>
    <w:link w:val="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0">
    <w:name w:val="Intense Quote"/>
    <w:basedOn w:val="1"/>
    <w:next w:val="1"/>
    <w:link w:val="51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1">
    <w:name w:val="Intense Quote Char"/>
    <w:basedOn w:val="14"/>
    <w:link w:val="50"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2">
    <w:name w:val="Subtle Reference"/>
    <w:basedOn w:val="14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53">
    <w:name w:val="Intense Reference"/>
    <w:basedOn w:val="14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54">
    <w:name w:val="Book Title"/>
    <w:basedOn w:val="14"/>
    <w:qFormat/>
    <w:uiPriority w:val="33"/>
    <w:rPr>
      <w:b/>
      <w:bCs/>
      <w:smallCaps/>
      <w:spacing w:val="5"/>
    </w:rPr>
  </w:style>
  <w:style w:type="character" w:customStyle="1" w:styleId="55">
    <w:name w:val="Footnote Text Char"/>
    <w:basedOn w:val="14"/>
    <w:link w:val="27"/>
    <w:semiHidden/>
    <w:uiPriority w:val="99"/>
    <w:rPr>
      <w:sz w:val="20"/>
      <w:szCs w:val="20"/>
    </w:rPr>
  </w:style>
  <w:style w:type="character" w:customStyle="1" w:styleId="56">
    <w:name w:val="Endnote Text Char"/>
    <w:basedOn w:val="14"/>
    <w:link w:val="25"/>
    <w:semiHidden/>
    <w:uiPriority w:val="99"/>
    <w:rPr>
      <w:sz w:val="20"/>
      <w:szCs w:val="20"/>
    </w:rPr>
  </w:style>
  <w:style w:type="character" w:customStyle="1" w:styleId="57">
    <w:name w:val="Plain Text Char"/>
    <w:basedOn w:val="14"/>
    <w:link w:val="24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58">
    <w:name w:val="Header Char"/>
    <w:basedOn w:val="14"/>
    <w:uiPriority w:val="99"/>
  </w:style>
  <w:style w:type="character" w:customStyle="1" w:styleId="59">
    <w:name w:val="Footer Char"/>
    <w:basedOn w:val="14"/>
    <w:link w:val="30"/>
    <w:uiPriority w:val="99"/>
  </w:style>
  <w:style w:type="paragraph" w:customStyle="1" w:styleId="60">
    <w:name w:val="Index"/>
    <w:basedOn w:val="4"/>
    <w:uiPriority w:val="99"/>
    <w:rPr>
      <w:rFonts w:cs="FreeSans"/>
      <w:sz w:val="24"/>
    </w:rPr>
  </w:style>
  <w:style w:type="paragraph" w:customStyle="1" w:styleId="61">
    <w:name w:val="Заголовок"/>
    <w:basedOn w:val="4"/>
    <w:next w:val="5"/>
    <w:uiPriority w:val="99"/>
    <w:pPr>
      <w:keepNext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customStyle="1" w:styleId="62">
    <w:name w:val="Указатель1"/>
    <w:basedOn w:val="4"/>
    <w:uiPriority w:val="99"/>
    <w:rPr>
      <w:rFonts w:cs="FreeSans"/>
    </w:rPr>
  </w:style>
  <w:style w:type="paragraph" w:styleId="63">
    <w:name w:val="List Paragraph"/>
    <w:basedOn w:val="4"/>
    <w:uiPriority w:val="99"/>
    <w:pPr>
      <w:ind w:left="720"/>
    </w:pPr>
    <w:rPr>
      <w:lang w:val="en-US"/>
    </w:rPr>
  </w:style>
  <w:style w:type="paragraph" w:styleId="64">
    <w:name w:val="No Spacing"/>
    <w:uiPriority w:val="99"/>
    <w:pPr>
      <w:widowControl/>
    </w:pPr>
    <w:rPr>
      <w:rFonts w:ascii="Calibri" w:hAnsi="Calibri" w:eastAsia="Calibri" w:cs="FreeSerif"/>
      <w:sz w:val="22"/>
      <w:szCs w:val="22"/>
      <w:lang w:val="ru-RU" w:eastAsia="en-US" w:bidi="ar-SA"/>
    </w:rPr>
  </w:style>
  <w:style w:type="paragraph" w:customStyle="1" w:styleId="65">
    <w:name w:val="Standard (WW)"/>
    <w:uiPriority w:val="99"/>
    <w:pPr>
      <w:widowControl/>
    </w:pPr>
    <w:rPr>
      <w:rFonts w:ascii="Liberation Serif" w:hAnsi="Liberation Serif" w:eastAsia="Noto Sans CJK SC" w:cs="Lohit Devanagari"/>
      <w:sz w:val="24"/>
      <w:szCs w:val="24"/>
      <w:lang w:val="ru-RU" w:eastAsia="zh-CN" w:bidi="hi-IN"/>
    </w:rPr>
  </w:style>
  <w:style w:type="paragraph" w:customStyle="1" w:styleId="66">
    <w:name w:val="Фигура"/>
    <w:basedOn w:val="26"/>
    <w:uiPriority w:val="99"/>
  </w:style>
  <w:style w:type="paragraph" w:customStyle="1" w:styleId="67">
    <w:name w:val="Frame contents"/>
    <w:basedOn w:val="4"/>
    <w:uiPriority w:val="99"/>
  </w:style>
  <w:style w:type="paragraph" w:customStyle="1" w:styleId="68">
    <w:name w:val="Figure"/>
    <w:basedOn w:val="26"/>
    <w:uiPriority w:val="99"/>
  </w:style>
  <w:style w:type="paragraph" w:customStyle="1" w:styleId="69">
    <w:name w:val="Preformatted Text"/>
    <w:basedOn w:val="4"/>
    <w:uiPriority w:val="99"/>
    <w:pPr>
      <w:spacing w:after="0"/>
    </w:pPr>
    <w:rPr>
      <w:rFonts w:ascii="Courier New" w:hAnsi="Courier New" w:eastAsia="Courier New" w:cs="Courier New"/>
      <w:sz w:val="20"/>
      <w:szCs w:val="20"/>
    </w:rPr>
  </w:style>
  <w:style w:type="paragraph" w:customStyle="1" w:styleId="70">
    <w:name w:val="Основной текст 31"/>
    <w:basedOn w:val="4"/>
    <w:uiPriority w:val="99"/>
    <w:pPr>
      <w:jc w:val="both"/>
    </w:pPr>
  </w:style>
  <w:style w:type="paragraph" w:customStyle="1" w:styleId="71">
    <w:name w:val="Header and Footer"/>
    <w:basedOn w:val="4"/>
    <w:uiPriority w:val="99"/>
    <w:pPr>
      <w:tabs>
        <w:tab w:val="center" w:pos="4819"/>
        <w:tab w:val="right" w:pos="9638"/>
      </w:tabs>
    </w:pPr>
  </w:style>
  <w:style w:type="paragraph" w:customStyle="1" w:styleId="72">
    <w:name w:val="Table Contents"/>
    <w:basedOn w:val="4"/>
    <w:uiPriority w:val="99"/>
    <w:pPr>
      <w:widowControl w:val="0"/>
    </w:pPr>
  </w:style>
  <w:style w:type="paragraph" w:customStyle="1" w:styleId="73">
    <w:name w:val="Table Heading"/>
    <w:basedOn w:val="72"/>
    <w:uiPriority w:val="99"/>
    <w:pPr>
      <w:jc w:val="center"/>
    </w:pPr>
    <w:rPr>
      <w:b/>
      <w:bCs/>
    </w:rPr>
  </w:style>
  <w:style w:type="character" w:customStyle="1" w:styleId="74">
    <w:name w:val="Internet link"/>
    <w:basedOn w:val="14"/>
    <w:uiPriority w:val="99"/>
    <w:rPr>
      <w:color w:val="0000FF"/>
      <w:u w:val="single"/>
    </w:rPr>
  </w:style>
  <w:style w:type="character" w:customStyle="1" w:styleId="75">
    <w:name w:val="Strong Emphasis"/>
    <w:basedOn w:val="14"/>
    <w:uiPriority w:val="99"/>
    <w:rPr>
      <w:b/>
      <w:bCs/>
    </w:rPr>
  </w:style>
  <w:style w:type="character" w:customStyle="1" w:styleId="76">
    <w:name w:val="Текст выноски Знак"/>
    <w:basedOn w:val="14"/>
    <w:uiPriority w:val="99"/>
    <w:rPr>
      <w:rFonts w:ascii="Segoe UI" w:hAnsi="Segoe UI" w:eastAsia="Segoe UI" w:cs="Segoe UI"/>
      <w:sz w:val="18"/>
      <w:szCs w:val="18"/>
      <w:lang w:val="ru-RU"/>
    </w:rPr>
  </w:style>
  <w:style w:type="character" w:customStyle="1" w:styleId="77">
    <w:name w:val="Katex-mathml"/>
    <w:basedOn w:val="14"/>
    <w:uiPriority w:val="99"/>
  </w:style>
  <w:style w:type="character" w:customStyle="1" w:styleId="78">
    <w:name w:val="Mord"/>
    <w:basedOn w:val="14"/>
    <w:uiPriority w:val="99"/>
  </w:style>
  <w:style w:type="character" w:styleId="79">
    <w:name w:val="Placeholder Text"/>
    <w:basedOn w:val="14"/>
    <w:uiPriority w:val="99"/>
    <w:rPr>
      <w:color w:val="808080"/>
    </w:rPr>
  </w:style>
  <w:style w:type="character" w:customStyle="1" w:styleId="80">
    <w:name w:val="Visited Internet Link"/>
    <w:basedOn w:val="14"/>
    <w:uiPriority w:val="99"/>
    <w:rPr>
      <w:color w:val="954F72"/>
      <w:u w:val="single"/>
    </w:rPr>
  </w:style>
  <w:style w:type="character" w:customStyle="1" w:styleId="81">
    <w:name w:val="Заголовок 3 Знак"/>
    <w:basedOn w:val="14"/>
    <w:uiPriority w:val="9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82">
    <w:name w:val="Mbin"/>
    <w:basedOn w:val="14"/>
    <w:uiPriority w:val="99"/>
  </w:style>
  <w:style w:type="character" w:customStyle="1" w:styleId="83">
    <w:name w:val="Vlist-s"/>
    <w:basedOn w:val="14"/>
    <w:uiPriority w:val="99"/>
  </w:style>
  <w:style w:type="character" w:customStyle="1" w:styleId="84">
    <w:name w:val="Mrel"/>
    <w:basedOn w:val="14"/>
    <w:uiPriority w:val="99"/>
  </w:style>
  <w:style w:type="character" w:customStyle="1" w:styleId="85">
    <w:name w:val="WW8Num7z0"/>
    <w:uiPriority w:val="99"/>
    <w:rPr>
      <w:rFonts w:ascii="Symbol" w:hAnsi="Symbol" w:eastAsia="Symbol" w:cs="Symbol"/>
    </w:rPr>
  </w:style>
  <w:style w:type="character" w:customStyle="1" w:styleId="86">
    <w:name w:val="WW8Num7z1"/>
    <w:uiPriority w:val="99"/>
    <w:rPr>
      <w:rFonts w:ascii="Courier New" w:hAnsi="Courier New" w:eastAsia="Courier New" w:cs="Courier New"/>
    </w:rPr>
  </w:style>
  <w:style w:type="character" w:customStyle="1" w:styleId="87">
    <w:name w:val="WW8Num7z2"/>
    <w:uiPriority w:val="99"/>
    <w:rPr>
      <w:rFonts w:ascii="Wingdings" w:hAnsi="Wingdings" w:eastAsia="Wingdings" w:cs="Wingdings"/>
    </w:rPr>
  </w:style>
  <w:style w:type="character" w:customStyle="1" w:styleId="88">
    <w:name w:val="Bullet Symbols"/>
    <w:uiPriority w:val="99"/>
    <w:rPr>
      <w:rFonts w:ascii="OpenSymbol" w:hAnsi="OpenSymbol" w:eastAsia="OpenSymbol" w:cs="OpenSymbol"/>
    </w:rPr>
  </w:style>
  <w:style w:type="character" w:customStyle="1" w:styleId="89">
    <w:name w:val="ListLabel 55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0">
    <w:name w:val="ListLabel 56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91">
    <w:name w:val="ListLabel 5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2">
    <w:name w:val="ListLabel 58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3">
    <w:name w:val="ListLabel 5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4">
    <w:name w:val="ListLabel 6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5">
    <w:name w:val="ListLabel 6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6">
    <w:name w:val="ListLabel 6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7">
    <w:name w:val="ListLabel 6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8">
    <w:name w:val="ListLabel 46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9">
    <w:name w:val="ListLabel 47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00">
    <w:name w:val="ListLabel 48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1">
    <w:name w:val="ListLabel 4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2">
    <w:name w:val="ListLabel 5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3">
    <w:name w:val="ListLabel 5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4">
    <w:name w:val="ListLabel 5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5">
    <w:name w:val="ListLabel 5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6">
    <w:name w:val="ListLabel 5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7">
    <w:name w:val="ListLabel 6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8">
    <w:name w:val="ListLabel 65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09">
    <w:name w:val="ListLabel 66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0">
    <w:name w:val="ListLabel 6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1">
    <w:name w:val="ListLabel 68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2">
    <w:name w:val="ListLabel 6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3">
    <w:name w:val="ListLabel 7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4">
    <w:name w:val="ListLabel 7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5">
    <w:name w:val="ListLabel 7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6">
    <w:name w:val="ListLabel 3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7">
    <w:name w:val="ListLabel 38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18">
    <w:name w:val="ListLabel 3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9">
    <w:name w:val="ListLabel 4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0">
    <w:name w:val="ListLabel 4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1">
    <w:name w:val="ListLabel 4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2">
    <w:name w:val="ListLabel 4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3">
    <w:name w:val="ListLabel 4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4">
    <w:name w:val="ListLabel 45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table" w:customStyle="1" w:styleId="125">
    <w:name w:val="Light Shading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26">
    <w:name w:val="Light List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27">
    <w:name w:val="Light List Accent 1"/>
    <w:uiPriority w:val="61"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128">
    <w:name w:val="Light Shading Accent 5"/>
    <w:uiPriority w:val="60"/>
    <w:pPr>
      <w:spacing w:after="0" w:line="240" w:lineRule="auto"/>
    </w:pPr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customStyle="1" w:styleId="129">
    <w:name w:val="Light Shading Accent 1"/>
    <w:uiPriority w:val="60"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30">
    <w:name w:val="Light Shading Accent 6"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31">
    <w:name w:val="Light Shading Accent 3"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2">
    <w:name w:val="Light List Accent 2"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809</Words>
  <Characters>4905</Characters>
  <Lines>50</Lines>
  <Paragraphs>14</Paragraphs>
  <TotalTime>12</TotalTime>
  <ScaleCrop>false</ScaleCrop>
  <LinksUpToDate>false</LinksUpToDate>
  <CharactersWithSpaces>5660</CharactersWithSpaces>
  <Application>WPS Office_12.1.0.28485_F1E327BC-269C-435d-A152-05C5408002CA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2026-09-25T06:50:20Z</dcterms:created>
  <dc:creator>BIL sinα</dc:creator>
  <cp:lastModifiedBy>Max Andreyuk</cp:lastModifiedBy>
  <dcterms:modified xsi:type="dcterms:W3CDTF">2026-09-25T07:03:22Z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KSOTemplateDocerSaveRecord">
    <vt:lpwstr>eyJoZGlkIjoiM2FmNDdlZmYwZDc0YTEzZDk2MTE0YjNjMmY5NDllNzciLCJ1c2VySWQiOiI3NTc2ODYwODUwNjkxIn0=</vt:lpwstr>
  </property>
  <property fmtid="{D5CDD505-2E9C-101B-9397-08002B2CF9AE}" pid="4" name="KSOProductBuildVer">
    <vt:lpwstr>1049-12.1.0.28485</vt:lpwstr>
  </property>
  <property fmtid="{D5CDD505-2E9C-101B-9397-08002B2CF9AE}" pid="5" name="ICV">
    <vt:lpwstr>E5E89E98557746629EAC8DCFFFC96F88_13</vt:lpwstr>
  </property>
</Properties>
</file>